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小标宋简体" w:cs="方正小标宋简体"/>
          <w:b w:val="0"/>
          <w:bCs w:val="0"/>
          <w:i w:val="0"/>
          <w:iCs w:val="0"/>
          <w:caps w:val="0"/>
          <w:color w:val="333333"/>
          <w:spacing w:val="0"/>
          <w:kern w:val="0"/>
          <w:sz w:val="44"/>
          <w:szCs w:val="44"/>
          <w:lang w:val="en-US" w:eastAsia="zh-CN" w:bidi="ar"/>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小标宋简体" w:cs="方正小标宋简体"/>
          <w:b w:val="0"/>
          <w:bCs w:val="0"/>
          <w:i w:val="0"/>
          <w:iCs w:val="0"/>
          <w:caps w:val="0"/>
          <w:color w:val="333333"/>
          <w:spacing w:val="0"/>
          <w:kern w:val="0"/>
          <w:sz w:val="44"/>
          <w:szCs w:val="44"/>
          <w:lang w:val="en-US" w:eastAsia="zh-CN" w:bidi="ar"/>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小标宋简体" w:cs="方正小标宋简体"/>
          <w:b w:val="0"/>
          <w:bCs w:val="0"/>
          <w:i w:val="0"/>
          <w:iCs w:val="0"/>
          <w:caps w:val="0"/>
          <w:color w:val="333333"/>
          <w:spacing w:val="0"/>
          <w:kern w:val="0"/>
          <w:sz w:val="44"/>
          <w:szCs w:val="44"/>
          <w:lang w:val="en-US" w:eastAsia="zh-CN" w:bidi="ar"/>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小标宋简体" w:cs="方正小标宋简体"/>
          <w:b w:val="0"/>
          <w:bCs w:val="0"/>
          <w:i w:val="0"/>
          <w:iCs w:val="0"/>
          <w:caps w:val="0"/>
          <w:color w:val="333333"/>
          <w:spacing w:val="0"/>
          <w:kern w:val="0"/>
          <w:sz w:val="44"/>
          <w:szCs w:val="44"/>
          <w:lang w:val="en-US" w:eastAsia="zh-CN" w:bidi="ar"/>
        </w:rPr>
      </w:pPr>
      <w:r>
        <w:rPr>
          <w:rFonts w:hint="eastAsia" w:ascii="Times New Roman" w:hAnsi="Times New Roman" w:eastAsia="方正小标宋简体" w:cs="方正小标宋简体"/>
          <w:b w:val="0"/>
          <w:bCs w:val="0"/>
          <w:i w:val="0"/>
          <w:iCs w:val="0"/>
          <w:caps w:val="0"/>
          <w:color w:val="333333"/>
          <w:spacing w:val="0"/>
          <w:kern w:val="0"/>
          <w:sz w:val="44"/>
          <w:szCs w:val="44"/>
          <w:lang w:val="en-US" w:eastAsia="zh-CN" w:bidi="ar"/>
        </w:rPr>
        <w:t>浙江省医疗保障局关于印发《浙江省医疗保</w:t>
      </w:r>
      <w:bookmarkStart w:id="0" w:name="_GoBack"/>
      <w:bookmarkEnd w:id="0"/>
      <w:r>
        <w:rPr>
          <w:rFonts w:hint="eastAsia" w:ascii="Times New Roman" w:hAnsi="Times New Roman" w:eastAsia="方正小标宋简体" w:cs="方正小标宋简体"/>
          <w:b w:val="0"/>
          <w:bCs w:val="0"/>
          <w:i w:val="0"/>
          <w:iCs w:val="0"/>
          <w:caps w:val="0"/>
          <w:color w:val="333333"/>
          <w:spacing w:val="0"/>
          <w:kern w:val="0"/>
          <w:sz w:val="44"/>
          <w:szCs w:val="44"/>
          <w:lang w:val="en-US" w:eastAsia="zh-CN" w:bidi="ar"/>
        </w:rPr>
        <w:t>障行政处罚裁量适用暂行办法》的通知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仿宋_GB2312" w:cs="仿宋_GB2312"/>
          <w:b w:val="0"/>
          <w:bCs w:val="0"/>
          <w:i w:val="0"/>
          <w:iCs w:val="0"/>
          <w:caps w:val="0"/>
          <w:color w:val="333333"/>
          <w:spacing w:val="0"/>
          <w:kern w:val="0"/>
          <w:sz w:val="32"/>
          <w:szCs w:val="32"/>
          <w:lang w:val="en-US" w:eastAsia="zh-CN" w:bidi="ar"/>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仿宋_GB2312" w:cs="仿宋_GB2312"/>
          <w:b w:val="0"/>
          <w:bCs w:val="0"/>
          <w:i w:val="0"/>
          <w:iCs w:val="0"/>
          <w:caps w:val="0"/>
          <w:color w:val="333333"/>
          <w:spacing w:val="0"/>
          <w:kern w:val="0"/>
          <w:sz w:val="32"/>
          <w:szCs w:val="32"/>
          <w:lang w:val="en-US" w:eastAsia="zh-CN" w:bidi="ar"/>
        </w:rPr>
      </w:pPr>
      <w:r>
        <w:rPr>
          <w:rFonts w:hint="eastAsia" w:ascii="Times New Roman" w:hAnsi="Times New Roman" w:eastAsia="仿宋_GB2312" w:cs="仿宋_GB2312"/>
          <w:b w:val="0"/>
          <w:bCs w:val="0"/>
          <w:i w:val="0"/>
          <w:iCs w:val="0"/>
          <w:caps w:val="0"/>
          <w:color w:val="333333"/>
          <w:spacing w:val="0"/>
          <w:kern w:val="0"/>
          <w:sz w:val="32"/>
          <w:szCs w:val="32"/>
          <w:lang w:val="en-US" w:eastAsia="zh-CN" w:bidi="ar"/>
        </w:rPr>
        <w:t>各市、县（市、区）医疗保障局：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b w:val="0"/>
          <w:bCs w:val="0"/>
          <w:i w:val="0"/>
          <w:iCs w:val="0"/>
          <w:caps w:val="0"/>
          <w:color w:val="333333"/>
          <w:spacing w:val="0"/>
          <w:kern w:val="0"/>
          <w:sz w:val="32"/>
          <w:szCs w:val="32"/>
          <w:lang w:val="en-US" w:eastAsia="zh-CN" w:bidi="ar"/>
        </w:rPr>
      </w:pPr>
      <w:r>
        <w:rPr>
          <w:rFonts w:hint="eastAsia" w:ascii="Times New Roman" w:hAnsi="Times New Roman" w:eastAsia="仿宋_GB2312" w:cs="仿宋_GB2312"/>
          <w:b w:val="0"/>
          <w:bCs w:val="0"/>
          <w:i w:val="0"/>
          <w:iCs w:val="0"/>
          <w:caps w:val="0"/>
          <w:color w:val="333333"/>
          <w:spacing w:val="0"/>
          <w:kern w:val="0"/>
          <w:sz w:val="32"/>
          <w:szCs w:val="32"/>
          <w:lang w:val="en-US" w:eastAsia="zh-CN" w:bidi="ar"/>
        </w:rPr>
        <w:t>现将《浙江省医疗保障行政处罚裁量适用暂行办法》印发给你们，请遵照执行。</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仿宋_GB2312" w:cs="仿宋_GB2312"/>
          <w:b w:val="0"/>
          <w:bCs w:val="0"/>
          <w:i w:val="0"/>
          <w:iCs w:val="0"/>
          <w:caps w:val="0"/>
          <w:color w:val="333333"/>
          <w:spacing w:val="0"/>
          <w:kern w:val="0"/>
          <w:sz w:val="32"/>
          <w:szCs w:val="32"/>
          <w:lang w:val="en-US" w:eastAsia="zh-CN" w:bidi="ar"/>
        </w:rPr>
      </w:pPr>
    </w:p>
    <w:p>
      <w:pPr>
        <w:keepNext w:val="0"/>
        <w:keepLines w:val="0"/>
        <w:pageBreakBefore w:val="0"/>
        <w:widowControl w:val="0"/>
        <w:kinsoku/>
        <w:wordWrap/>
        <w:overflowPunct/>
        <w:topLinePunct w:val="0"/>
        <w:autoSpaceDE/>
        <w:autoSpaceDN/>
        <w:bidi w:val="0"/>
        <w:adjustRightInd/>
        <w:snapToGrid/>
        <w:spacing w:line="560" w:lineRule="exact"/>
        <w:jc w:val="right"/>
        <w:textAlignment w:val="auto"/>
        <w:rPr>
          <w:rFonts w:hint="eastAsia" w:ascii="Times New Roman" w:hAnsi="Times New Roman" w:eastAsia="仿宋_GB2312" w:cs="仿宋_GB2312"/>
          <w:b w:val="0"/>
          <w:bCs w:val="0"/>
          <w:i w:val="0"/>
          <w:iCs w:val="0"/>
          <w:caps w:val="0"/>
          <w:color w:val="333333"/>
          <w:spacing w:val="0"/>
          <w:kern w:val="0"/>
          <w:sz w:val="32"/>
          <w:szCs w:val="32"/>
          <w:lang w:val="en-US" w:eastAsia="zh-CN" w:bidi="ar"/>
        </w:rPr>
      </w:pPr>
      <w:r>
        <w:rPr>
          <w:rFonts w:hint="eastAsia" w:ascii="Times New Roman" w:hAnsi="Times New Roman" w:eastAsia="仿宋_GB2312" w:cs="仿宋_GB2312"/>
          <w:b w:val="0"/>
          <w:bCs w:val="0"/>
          <w:i w:val="0"/>
          <w:iCs w:val="0"/>
          <w:caps w:val="0"/>
          <w:color w:val="333333"/>
          <w:spacing w:val="0"/>
          <w:kern w:val="0"/>
          <w:sz w:val="32"/>
          <w:szCs w:val="32"/>
          <w:lang w:val="en-US" w:eastAsia="zh-CN" w:bidi="ar"/>
        </w:rPr>
        <w:t>浙江省医疗保障局</w:t>
      </w:r>
    </w:p>
    <w:p>
      <w:pPr>
        <w:keepNext w:val="0"/>
        <w:keepLines w:val="0"/>
        <w:pageBreakBefore w:val="0"/>
        <w:widowControl w:val="0"/>
        <w:kinsoku/>
        <w:wordWrap/>
        <w:overflowPunct/>
        <w:topLinePunct w:val="0"/>
        <w:autoSpaceDE/>
        <w:autoSpaceDN/>
        <w:bidi w:val="0"/>
        <w:adjustRightInd/>
        <w:snapToGrid/>
        <w:spacing w:line="560" w:lineRule="exact"/>
        <w:jc w:val="right"/>
        <w:textAlignment w:val="auto"/>
        <w:rPr>
          <w:rFonts w:hint="eastAsia" w:ascii="Times New Roman" w:hAnsi="Times New Roman" w:eastAsia="仿宋_GB2312" w:cs="仿宋_GB2312"/>
          <w:b w:val="0"/>
          <w:bCs w:val="0"/>
          <w:i w:val="0"/>
          <w:iCs w:val="0"/>
          <w:caps w:val="0"/>
          <w:color w:val="333333"/>
          <w:spacing w:val="0"/>
          <w:kern w:val="0"/>
          <w:sz w:val="32"/>
          <w:szCs w:val="32"/>
          <w:lang w:val="en-US" w:eastAsia="zh-CN" w:bidi="ar"/>
        </w:rPr>
      </w:pPr>
      <w:r>
        <w:rPr>
          <w:rFonts w:hint="eastAsia" w:ascii="Times New Roman" w:hAnsi="Times New Roman" w:eastAsia="仿宋_GB2312" w:cs="仿宋_GB2312"/>
          <w:b w:val="0"/>
          <w:bCs w:val="0"/>
          <w:i w:val="0"/>
          <w:iCs w:val="0"/>
          <w:caps w:val="0"/>
          <w:color w:val="333333"/>
          <w:spacing w:val="0"/>
          <w:kern w:val="0"/>
          <w:sz w:val="32"/>
          <w:szCs w:val="32"/>
          <w:lang w:val="en-US" w:eastAsia="zh-CN" w:bidi="ar"/>
        </w:rPr>
        <w:t>2022年10月28日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仿宋_GB2312" w:cs="仿宋_GB2312"/>
          <w:b w:val="0"/>
          <w:bCs w:val="0"/>
          <w:i w:val="0"/>
          <w:iCs w:val="0"/>
          <w:caps w:val="0"/>
          <w:color w:val="333333"/>
          <w:spacing w:val="0"/>
          <w:kern w:val="0"/>
          <w:sz w:val="32"/>
          <w:szCs w:val="32"/>
          <w:lang w:val="en-US" w:eastAsia="zh-CN" w:bidi="ar"/>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仿宋_GB2312" w:cs="仿宋_GB2312"/>
          <w:b w:val="0"/>
          <w:bCs w:val="0"/>
          <w:i w:val="0"/>
          <w:iCs w:val="0"/>
          <w:caps w:val="0"/>
          <w:color w:val="333333"/>
          <w:spacing w:val="0"/>
          <w:kern w:val="0"/>
          <w:sz w:val="32"/>
          <w:szCs w:val="32"/>
          <w:lang w:val="en-US" w:eastAsia="zh-CN" w:bidi="ar"/>
        </w:rPr>
      </w:pPr>
    </w:p>
    <w:p>
      <w:pPr>
        <w:rPr>
          <w:rFonts w:hint="eastAsia" w:ascii="Times New Roman" w:hAnsi="Times New Roman" w:eastAsia="仿宋_GB2312" w:cs="仿宋_GB2312"/>
          <w:b w:val="0"/>
          <w:bCs w:val="0"/>
          <w:i w:val="0"/>
          <w:iCs w:val="0"/>
          <w:caps w:val="0"/>
          <w:color w:val="333333"/>
          <w:spacing w:val="0"/>
          <w:kern w:val="0"/>
          <w:sz w:val="32"/>
          <w:szCs w:val="32"/>
          <w:lang w:val="en-US" w:eastAsia="zh-CN" w:bidi="ar"/>
        </w:rPr>
      </w:pPr>
    </w:p>
    <w:p>
      <w:pPr>
        <w:rPr>
          <w:rFonts w:hint="eastAsia" w:ascii="Times New Roman" w:hAnsi="Times New Roman" w:eastAsia="仿宋_GB2312" w:cs="仿宋_GB2312"/>
          <w:b w:val="0"/>
          <w:bCs w:val="0"/>
          <w:i w:val="0"/>
          <w:iCs w:val="0"/>
          <w:caps w:val="0"/>
          <w:color w:val="333333"/>
          <w:spacing w:val="0"/>
          <w:kern w:val="0"/>
          <w:sz w:val="32"/>
          <w:szCs w:val="32"/>
          <w:lang w:val="en-US" w:eastAsia="zh-CN" w:bidi="ar"/>
        </w:rPr>
      </w:pPr>
    </w:p>
    <w:p>
      <w:pPr>
        <w:rPr>
          <w:rFonts w:hint="eastAsia" w:ascii="Times New Roman" w:hAnsi="Times New Roman" w:eastAsia="仿宋_GB2312" w:cs="仿宋_GB2312"/>
          <w:b w:val="0"/>
          <w:bCs w:val="0"/>
          <w:i w:val="0"/>
          <w:iCs w:val="0"/>
          <w:caps w:val="0"/>
          <w:color w:val="333333"/>
          <w:spacing w:val="0"/>
          <w:kern w:val="0"/>
          <w:sz w:val="32"/>
          <w:szCs w:val="32"/>
          <w:lang w:val="en-US" w:eastAsia="zh-CN" w:bidi="ar"/>
        </w:rPr>
      </w:pPr>
    </w:p>
    <w:p>
      <w:pPr>
        <w:rPr>
          <w:rFonts w:hint="eastAsia" w:ascii="Times New Roman" w:hAnsi="Times New Roman" w:eastAsia="仿宋_GB2312" w:cs="仿宋_GB2312"/>
          <w:b w:val="0"/>
          <w:bCs w:val="0"/>
          <w:i w:val="0"/>
          <w:iCs w:val="0"/>
          <w:caps w:val="0"/>
          <w:color w:val="333333"/>
          <w:spacing w:val="0"/>
          <w:kern w:val="0"/>
          <w:sz w:val="32"/>
          <w:szCs w:val="32"/>
          <w:lang w:val="en-US" w:eastAsia="zh-CN" w:bidi="ar"/>
        </w:rPr>
      </w:pPr>
    </w:p>
    <w:p>
      <w:pPr>
        <w:rPr>
          <w:rFonts w:hint="eastAsia" w:ascii="Times New Roman" w:hAnsi="Times New Roman" w:eastAsia="仿宋_GB2312" w:cs="仿宋_GB2312"/>
          <w:b w:val="0"/>
          <w:bCs w:val="0"/>
          <w:i w:val="0"/>
          <w:iCs w:val="0"/>
          <w:caps w:val="0"/>
          <w:color w:val="333333"/>
          <w:spacing w:val="0"/>
          <w:kern w:val="0"/>
          <w:sz w:val="32"/>
          <w:szCs w:val="32"/>
          <w:lang w:val="en-US" w:eastAsia="zh-CN" w:bidi="ar"/>
        </w:rPr>
      </w:pPr>
    </w:p>
    <w:p>
      <w:pPr>
        <w:rPr>
          <w:rFonts w:hint="eastAsia" w:ascii="Times New Roman" w:hAnsi="Times New Roman" w:eastAsia="仿宋_GB2312" w:cs="仿宋_GB2312"/>
          <w:b w:val="0"/>
          <w:bCs w:val="0"/>
          <w:i w:val="0"/>
          <w:iCs w:val="0"/>
          <w:caps w:val="0"/>
          <w:color w:val="333333"/>
          <w:spacing w:val="0"/>
          <w:kern w:val="0"/>
          <w:sz w:val="32"/>
          <w:szCs w:val="32"/>
          <w:lang w:val="en-US" w:eastAsia="zh-CN" w:bidi="ar"/>
        </w:rPr>
      </w:pPr>
    </w:p>
    <w:p>
      <w:pPr>
        <w:rPr>
          <w:rFonts w:hint="eastAsia" w:ascii="Times New Roman" w:hAnsi="Times New Roman" w:eastAsia="仿宋_GB2312" w:cs="仿宋_GB2312"/>
          <w:b w:val="0"/>
          <w:bCs w:val="0"/>
          <w:i w:val="0"/>
          <w:iCs w:val="0"/>
          <w:caps w:val="0"/>
          <w:color w:val="333333"/>
          <w:spacing w:val="0"/>
          <w:kern w:val="0"/>
          <w:sz w:val="32"/>
          <w:szCs w:val="32"/>
          <w:lang w:val="en-US" w:eastAsia="zh-CN" w:bidi="ar"/>
        </w:rPr>
      </w:pPr>
    </w:p>
    <w:p>
      <w:pPr>
        <w:rPr>
          <w:rFonts w:hint="eastAsia" w:ascii="Times New Roman" w:hAnsi="Times New Roman" w:eastAsia="仿宋_GB2312" w:cs="仿宋_GB2312"/>
          <w:b w:val="0"/>
          <w:bCs w:val="0"/>
          <w:i w:val="0"/>
          <w:iCs w:val="0"/>
          <w:caps w:val="0"/>
          <w:color w:val="333333"/>
          <w:spacing w:val="0"/>
          <w:kern w:val="0"/>
          <w:sz w:val="32"/>
          <w:szCs w:val="32"/>
          <w:lang w:val="en-US" w:eastAsia="zh-CN" w:bidi="ar"/>
        </w:rPr>
      </w:pPr>
    </w:p>
    <w:p>
      <w:pPr>
        <w:rPr>
          <w:rFonts w:hint="eastAsia" w:ascii="Times New Roman" w:hAnsi="Times New Roman" w:eastAsia="仿宋_GB2312" w:cs="仿宋_GB2312"/>
          <w:b w:val="0"/>
          <w:bCs w:val="0"/>
          <w:i w:val="0"/>
          <w:iCs w:val="0"/>
          <w:caps w:val="0"/>
          <w:color w:val="333333"/>
          <w:spacing w:val="0"/>
          <w:kern w:val="0"/>
          <w:sz w:val="32"/>
          <w:szCs w:val="32"/>
          <w:lang w:val="en-US" w:eastAsia="zh-CN" w:bidi="ar"/>
        </w:rPr>
      </w:pPr>
    </w:p>
    <w:p>
      <w:pPr>
        <w:rPr>
          <w:rFonts w:hint="eastAsia" w:ascii="Times New Roman" w:hAnsi="Times New Roman" w:eastAsia="仿宋_GB2312" w:cs="仿宋_GB2312"/>
          <w:b w:val="0"/>
          <w:bCs w:val="0"/>
          <w:i w:val="0"/>
          <w:iCs w:val="0"/>
          <w:caps w:val="0"/>
          <w:color w:val="333333"/>
          <w:spacing w:val="0"/>
          <w:kern w:val="0"/>
          <w:sz w:val="32"/>
          <w:szCs w:val="32"/>
          <w:lang w:val="en-US" w:eastAsia="zh-CN" w:bidi="ar"/>
        </w:rPr>
      </w:pPr>
    </w:p>
    <w:p>
      <w:pPr>
        <w:rPr>
          <w:rFonts w:hint="eastAsia" w:ascii="Times New Roman" w:hAnsi="Times New Roman" w:eastAsia="仿宋_GB2312" w:cs="仿宋_GB2312"/>
          <w:b w:val="0"/>
          <w:bCs w:val="0"/>
          <w:i w:val="0"/>
          <w:iCs w:val="0"/>
          <w:caps w:val="0"/>
          <w:color w:val="333333"/>
          <w:spacing w:val="0"/>
          <w:kern w:val="0"/>
          <w:sz w:val="32"/>
          <w:szCs w:val="32"/>
          <w:lang w:val="en-US" w:eastAsia="zh-CN" w:bidi="ar"/>
        </w:rPr>
      </w:pPr>
    </w:p>
    <w:p>
      <w:pPr>
        <w:keepNext w:val="0"/>
        <w:keepLines w:val="0"/>
        <w:pageBreakBefore w:val="0"/>
        <w:widowControl w:val="0"/>
        <w:kinsoku/>
        <w:wordWrap/>
        <w:overflowPunct/>
        <w:topLinePunct w:val="0"/>
        <w:autoSpaceDE/>
        <w:autoSpaceDN/>
        <w:bidi w:val="0"/>
        <w:adjustRightInd/>
        <w:snapToGrid/>
        <w:spacing w:line="560" w:lineRule="exact"/>
        <w:ind w:firstLine="880" w:firstLineChars="200"/>
        <w:jc w:val="center"/>
        <w:textAlignment w:val="auto"/>
        <w:rPr>
          <w:rFonts w:hint="eastAsia" w:ascii="Times New Roman" w:hAnsi="Times New Roman" w:eastAsia="方正小标宋简体" w:cs="方正小标宋简体"/>
          <w:b w:val="0"/>
          <w:bCs w:val="0"/>
          <w:i w:val="0"/>
          <w:iCs w:val="0"/>
          <w:caps w:val="0"/>
          <w:color w:val="333333"/>
          <w:spacing w:val="0"/>
          <w:kern w:val="0"/>
          <w:sz w:val="44"/>
          <w:szCs w:val="44"/>
          <w:lang w:val="en-US" w:eastAsia="zh-CN" w:bidi="ar"/>
        </w:rPr>
      </w:pPr>
      <w:r>
        <w:rPr>
          <w:rFonts w:hint="eastAsia" w:ascii="Times New Roman" w:hAnsi="Times New Roman" w:eastAsia="方正小标宋简体" w:cs="方正小标宋简体"/>
          <w:b w:val="0"/>
          <w:bCs w:val="0"/>
          <w:i w:val="0"/>
          <w:iCs w:val="0"/>
          <w:caps w:val="0"/>
          <w:color w:val="333333"/>
          <w:spacing w:val="0"/>
          <w:kern w:val="0"/>
          <w:sz w:val="44"/>
          <w:szCs w:val="44"/>
          <w:lang w:val="en-US" w:eastAsia="zh-CN" w:bidi="ar"/>
        </w:rPr>
        <w:t>浙江省医疗保障行政处罚裁量适用暂行办法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b w:val="0"/>
          <w:bCs w:val="0"/>
          <w:i w:val="0"/>
          <w:iCs w:val="0"/>
          <w:caps w:val="0"/>
          <w:color w:val="333333"/>
          <w:spacing w:val="0"/>
          <w:kern w:val="0"/>
          <w:sz w:val="32"/>
          <w:szCs w:val="32"/>
          <w:lang w:val="en-US" w:eastAsia="zh-CN" w:bidi="ar"/>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b w:val="0"/>
          <w:bCs w:val="0"/>
          <w:i w:val="0"/>
          <w:iCs w:val="0"/>
          <w:caps w:val="0"/>
          <w:color w:val="333333"/>
          <w:spacing w:val="0"/>
          <w:kern w:val="0"/>
          <w:sz w:val="32"/>
          <w:szCs w:val="32"/>
          <w:lang w:val="en-US" w:eastAsia="zh-CN" w:bidi="ar"/>
        </w:rPr>
      </w:pPr>
      <w:r>
        <w:rPr>
          <w:rFonts w:hint="eastAsia" w:ascii="Times New Roman" w:hAnsi="Times New Roman" w:eastAsia="仿宋_GB2312" w:cs="仿宋_GB2312"/>
          <w:b w:val="0"/>
          <w:bCs w:val="0"/>
          <w:i w:val="0"/>
          <w:iCs w:val="0"/>
          <w:caps w:val="0"/>
          <w:color w:val="333333"/>
          <w:spacing w:val="0"/>
          <w:kern w:val="0"/>
          <w:sz w:val="32"/>
          <w:szCs w:val="32"/>
          <w:lang w:val="en-US" w:eastAsia="zh-CN" w:bidi="ar"/>
        </w:rPr>
        <w:t>第一条  为规范医疗保障行政处罚裁量权，根据《中华人民共和国行政处罚法》《中华人民共和国社会保险法》《医疗保障基金使用监督管理条例》《社会救助暂行办法》《浙江省医疗保障条例》《浙江省行政处罚裁量基准办法》等法律、法规、规章和国家医疗保障局印发的《规范医疗保障基金使用监督管理行政处罚裁量权办法》（医保发〔2021〕35号）等规定，结合我省医疗保障执法实际，制定本办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b w:val="0"/>
          <w:bCs w:val="0"/>
          <w:i w:val="0"/>
          <w:iCs w:val="0"/>
          <w:caps w:val="0"/>
          <w:color w:val="333333"/>
          <w:spacing w:val="0"/>
          <w:kern w:val="0"/>
          <w:sz w:val="32"/>
          <w:szCs w:val="32"/>
          <w:lang w:val="en-US" w:eastAsia="zh-CN" w:bidi="ar"/>
        </w:rPr>
      </w:pPr>
      <w:r>
        <w:rPr>
          <w:rFonts w:hint="eastAsia" w:ascii="Times New Roman" w:hAnsi="Times New Roman" w:eastAsia="仿宋_GB2312" w:cs="仿宋_GB2312"/>
          <w:b w:val="0"/>
          <w:bCs w:val="0"/>
          <w:i w:val="0"/>
          <w:iCs w:val="0"/>
          <w:caps w:val="0"/>
          <w:color w:val="333333"/>
          <w:spacing w:val="0"/>
          <w:kern w:val="0"/>
          <w:sz w:val="32"/>
          <w:szCs w:val="32"/>
          <w:lang w:val="en-US" w:eastAsia="zh-CN" w:bidi="ar"/>
        </w:rPr>
        <w:t>第二条  本办法所称行政处罚裁量基准，是指医疗保障行政部门在法律、法规和规章规定的裁量范围内，对公民、法人和其他组织违反医疗保障行政管理秩序的行为，据以确定是否处罚，以及作出何种类别、幅度的处罚及其具体适用情形的细化、量化标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b w:val="0"/>
          <w:bCs w:val="0"/>
          <w:i w:val="0"/>
          <w:iCs w:val="0"/>
          <w:caps w:val="0"/>
          <w:color w:val="333333"/>
          <w:spacing w:val="0"/>
          <w:kern w:val="0"/>
          <w:sz w:val="32"/>
          <w:szCs w:val="32"/>
          <w:lang w:val="en-US" w:eastAsia="zh-CN" w:bidi="ar"/>
        </w:rPr>
      </w:pPr>
      <w:r>
        <w:rPr>
          <w:rFonts w:hint="eastAsia" w:ascii="Times New Roman" w:hAnsi="Times New Roman" w:eastAsia="仿宋_GB2312" w:cs="仿宋_GB2312"/>
          <w:b w:val="0"/>
          <w:bCs w:val="0"/>
          <w:i w:val="0"/>
          <w:iCs w:val="0"/>
          <w:caps w:val="0"/>
          <w:color w:val="333333"/>
          <w:spacing w:val="0"/>
          <w:kern w:val="0"/>
          <w:sz w:val="32"/>
          <w:szCs w:val="32"/>
          <w:lang w:val="en-US" w:eastAsia="zh-CN" w:bidi="ar"/>
        </w:rPr>
        <w:t>第三条  各级医疗保障行政部门依法实施行政处罚时适用本办法。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b w:val="0"/>
          <w:bCs w:val="0"/>
          <w:i w:val="0"/>
          <w:iCs w:val="0"/>
          <w:caps w:val="0"/>
          <w:color w:val="333333"/>
          <w:spacing w:val="0"/>
          <w:kern w:val="0"/>
          <w:sz w:val="32"/>
          <w:szCs w:val="32"/>
          <w:lang w:val="en-US" w:eastAsia="zh-CN" w:bidi="ar"/>
        </w:rPr>
      </w:pPr>
      <w:r>
        <w:rPr>
          <w:rFonts w:hint="eastAsia" w:ascii="Times New Roman" w:hAnsi="Times New Roman" w:eastAsia="仿宋_GB2312" w:cs="仿宋_GB2312"/>
          <w:b w:val="0"/>
          <w:bCs w:val="0"/>
          <w:i w:val="0"/>
          <w:iCs w:val="0"/>
          <w:caps w:val="0"/>
          <w:color w:val="333333"/>
          <w:spacing w:val="0"/>
          <w:kern w:val="0"/>
          <w:sz w:val="32"/>
          <w:szCs w:val="32"/>
          <w:lang w:val="en-US" w:eastAsia="zh-CN" w:bidi="ar"/>
        </w:rPr>
        <w:t>第四条  各级医疗保障行政部门行使行政处罚裁量权，应当符合法律目的，以事实为依据，以法律为准绳，坚持处罚法定、程序正当原则，坚持公正、公开原则，坚持处罚与教育相结合原则。采取的措施和手段应当必要、适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b w:val="0"/>
          <w:bCs w:val="0"/>
          <w:i w:val="0"/>
          <w:iCs w:val="0"/>
          <w:caps w:val="0"/>
          <w:color w:val="333333"/>
          <w:spacing w:val="0"/>
          <w:kern w:val="0"/>
          <w:sz w:val="32"/>
          <w:szCs w:val="32"/>
          <w:lang w:val="en-US" w:eastAsia="zh-CN" w:bidi="ar"/>
        </w:rPr>
      </w:pPr>
      <w:r>
        <w:rPr>
          <w:rFonts w:hint="eastAsia" w:ascii="Times New Roman" w:hAnsi="Times New Roman" w:eastAsia="仿宋_GB2312" w:cs="仿宋_GB2312"/>
          <w:b w:val="0"/>
          <w:bCs w:val="0"/>
          <w:i w:val="0"/>
          <w:iCs w:val="0"/>
          <w:caps w:val="0"/>
          <w:color w:val="333333"/>
          <w:spacing w:val="0"/>
          <w:kern w:val="0"/>
          <w:sz w:val="32"/>
          <w:szCs w:val="32"/>
          <w:lang w:val="en-US" w:eastAsia="zh-CN" w:bidi="ar"/>
        </w:rPr>
        <w:t>第五条  各级医疗保障行政部门实施行政处罚，应当全面分析违法行为的主体、客体、主观、客观等方面因素，综合裁定处罚与否以及处罚的种类、幅度，并作出相应的处理决定。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b w:val="0"/>
          <w:bCs w:val="0"/>
          <w:i w:val="0"/>
          <w:iCs w:val="0"/>
          <w:caps w:val="0"/>
          <w:color w:val="333333"/>
          <w:spacing w:val="0"/>
          <w:kern w:val="0"/>
          <w:sz w:val="32"/>
          <w:szCs w:val="32"/>
          <w:lang w:val="en-US" w:eastAsia="zh-CN" w:bidi="ar"/>
        </w:rPr>
      </w:pPr>
      <w:r>
        <w:rPr>
          <w:rFonts w:hint="eastAsia" w:ascii="Times New Roman" w:hAnsi="Times New Roman" w:eastAsia="仿宋_GB2312" w:cs="仿宋_GB2312"/>
          <w:b w:val="0"/>
          <w:bCs w:val="0"/>
          <w:i w:val="0"/>
          <w:iCs w:val="0"/>
          <w:caps w:val="0"/>
          <w:color w:val="333333"/>
          <w:spacing w:val="0"/>
          <w:kern w:val="0"/>
          <w:sz w:val="32"/>
          <w:szCs w:val="32"/>
          <w:lang w:val="en-US" w:eastAsia="zh-CN" w:bidi="ar"/>
        </w:rPr>
        <w:t>对于性质相同、情节相近、违法后果、社会危害程度、改正措施以及当事人主观过错等因素基本相当的违法行为，在实施行政处罚时，适用的法律依据、处罚种类及处罚幅度应当基本相同。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b w:val="0"/>
          <w:bCs w:val="0"/>
          <w:i w:val="0"/>
          <w:iCs w:val="0"/>
          <w:caps w:val="0"/>
          <w:color w:val="333333"/>
          <w:spacing w:val="0"/>
          <w:kern w:val="0"/>
          <w:sz w:val="32"/>
          <w:szCs w:val="32"/>
          <w:lang w:val="en-US" w:eastAsia="zh-CN" w:bidi="ar"/>
        </w:rPr>
      </w:pPr>
      <w:r>
        <w:rPr>
          <w:rFonts w:hint="eastAsia" w:ascii="Times New Roman" w:hAnsi="Times New Roman" w:eastAsia="仿宋_GB2312" w:cs="仿宋_GB2312"/>
          <w:b w:val="0"/>
          <w:bCs w:val="0"/>
          <w:i w:val="0"/>
          <w:iCs w:val="0"/>
          <w:caps w:val="0"/>
          <w:color w:val="333333"/>
          <w:spacing w:val="0"/>
          <w:kern w:val="0"/>
          <w:sz w:val="32"/>
          <w:szCs w:val="32"/>
          <w:lang w:val="en-US" w:eastAsia="zh-CN" w:bidi="ar"/>
        </w:rPr>
        <w:t>第六条  实施行政处罚，应当依法责令当事人改正或限期改正违法行为。除法律、法规、规章另有规定外，限期改正期限原则上不得超过30日。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b w:val="0"/>
          <w:bCs w:val="0"/>
          <w:i w:val="0"/>
          <w:iCs w:val="0"/>
          <w:caps w:val="0"/>
          <w:color w:val="333333"/>
          <w:spacing w:val="0"/>
          <w:kern w:val="0"/>
          <w:sz w:val="32"/>
          <w:szCs w:val="32"/>
          <w:lang w:val="en-US" w:eastAsia="zh-CN" w:bidi="ar"/>
        </w:rPr>
      </w:pPr>
      <w:r>
        <w:rPr>
          <w:rFonts w:hint="eastAsia" w:ascii="Times New Roman" w:hAnsi="Times New Roman" w:eastAsia="仿宋_GB2312" w:cs="仿宋_GB2312"/>
          <w:b w:val="0"/>
          <w:bCs w:val="0"/>
          <w:i w:val="0"/>
          <w:iCs w:val="0"/>
          <w:caps w:val="0"/>
          <w:color w:val="333333"/>
          <w:spacing w:val="0"/>
          <w:kern w:val="0"/>
          <w:sz w:val="32"/>
          <w:szCs w:val="32"/>
          <w:lang w:val="en-US" w:eastAsia="zh-CN" w:bidi="ar"/>
        </w:rPr>
        <w:t>第七条  有下列情形之一的，不予处罚：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b w:val="0"/>
          <w:bCs w:val="0"/>
          <w:i w:val="0"/>
          <w:iCs w:val="0"/>
          <w:caps w:val="0"/>
          <w:color w:val="333333"/>
          <w:spacing w:val="0"/>
          <w:kern w:val="0"/>
          <w:sz w:val="32"/>
          <w:szCs w:val="32"/>
          <w:lang w:val="en-US" w:eastAsia="zh-CN" w:bidi="ar"/>
        </w:rPr>
      </w:pPr>
      <w:r>
        <w:rPr>
          <w:rFonts w:hint="eastAsia" w:ascii="Times New Roman" w:hAnsi="Times New Roman" w:eastAsia="仿宋_GB2312" w:cs="仿宋_GB2312"/>
          <w:b w:val="0"/>
          <w:bCs w:val="0"/>
          <w:i w:val="0"/>
          <w:iCs w:val="0"/>
          <w:caps w:val="0"/>
          <w:color w:val="333333"/>
          <w:spacing w:val="0"/>
          <w:kern w:val="0"/>
          <w:sz w:val="32"/>
          <w:szCs w:val="32"/>
          <w:lang w:val="en-US" w:eastAsia="zh-CN" w:bidi="ar"/>
        </w:rPr>
        <w:t>（一）不满14周岁的未成年人实施违法行为的；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b w:val="0"/>
          <w:bCs w:val="0"/>
          <w:i w:val="0"/>
          <w:iCs w:val="0"/>
          <w:caps w:val="0"/>
          <w:color w:val="333333"/>
          <w:spacing w:val="0"/>
          <w:kern w:val="0"/>
          <w:sz w:val="32"/>
          <w:szCs w:val="32"/>
          <w:lang w:val="en-US" w:eastAsia="zh-CN" w:bidi="ar"/>
        </w:rPr>
      </w:pPr>
      <w:r>
        <w:rPr>
          <w:rFonts w:hint="eastAsia" w:ascii="Times New Roman" w:hAnsi="Times New Roman" w:eastAsia="仿宋_GB2312" w:cs="仿宋_GB2312"/>
          <w:b w:val="0"/>
          <w:bCs w:val="0"/>
          <w:i w:val="0"/>
          <w:iCs w:val="0"/>
          <w:caps w:val="0"/>
          <w:color w:val="333333"/>
          <w:spacing w:val="0"/>
          <w:kern w:val="0"/>
          <w:sz w:val="32"/>
          <w:szCs w:val="32"/>
          <w:lang w:val="en-US" w:eastAsia="zh-CN" w:bidi="ar"/>
        </w:rPr>
        <w:t>（二）精神病人、智力残疾人不能辨认或控制自己的行为时实施违法行为的；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b w:val="0"/>
          <w:bCs w:val="0"/>
          <w:i w:val="0"/>
          <w:iCs w:val="0"/>
          <w:caps w:val="0"/>
          <w:color w:val="333333"/>
          <w:spacing w:val="0"/>
          <w:kern w:val="0"/>
          <w:sz w:val="32"/>
          <w:szCs w:val="32"/>
          <w:lang w:val="en-US" w:eastAsia="zh-CN" w:bidi="ar"/>
        </w:rPr>
      </w:pPr>
      <w:r>
        <w:rPr>
          <w:rFonts w:hint="eastAsia" w:ascii="Times New Roman" w:hAnsi="Times New Roman" w:eastAsia="仿宋_GB2312" w:cs="仿宋_GB2312"/>
          <w:b w:val="0"/>
          <w:bCs w:val="0"/>
          <w:i w:val="0"/>
          <w:iCs w:val="0"/>
          <w:caps w:val="0"/>
          <w:color w:val="333333"/>
          <w:spacing w:val="0"/>
          <w:kern w:val="0"/>
          <w:sz w:val="32"/>
          <w:szCs w:val="32"/>
          <w:lang w:val="en-US" w:eastAsia="zh-CN" w:bidi="ar"/>
        </w:rPr>
        <w:t>（三）违法事实不清，证据不足的；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b w:val="0"/>
          <w:bCs w:val="0"/>
          <w:i w:val="0"/>
          <w:iCs w:val="0"/>
          <w:caps w:val="0"/>
          <w:color w:val="333333"/>
          <w:spacing w:val="0"/>
          <w:kern w:val="0"/>
          <w:sz w:val="32"/>
          <w:szCs w:val="32"/>
          <w:lang w:val="en-US" w:eastAsia="zh-CN" w:bidi="ar"/>
        </w:rPr>
      </w:pPr>
      <w:r>
        <w:rPr>
          <w:rFonts w:hint="eastAsia" w:ascii="Times New Roman" w:hAnsi="Times New Roman" w:eastAsia="仿宋_GB2312" w:cs="仿宋_GB2312"/>
          <w:b w:val="0"/>
          <w:bCs w:val="0"/>
          <w:i w:val="0"/>
          <w:iCs w:val="0"/>
          <w:caps w:val="0"/>
          <w:color w:val="333333"/>
          <w:spacing w:val="0"/>
          <w:kern w:val="0"/>
          <w:sz w:val="32"/>
          <w:szCs w:val="32"/>
          <w:lang w:val="en-US" w:eastAsia="zh-CN" w:bidi="ar"/>
        </w:rPr>
        <w:t>（四）违法行为轻微并及时改正，没有造成危害后果的；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b w:val="0"/>
          <w:bCs w:val="0"/>
          <w:i w:val="0"/>
          <w:iCs w:val="0"/>
          <w:caps w:val="0"/>
          <w:color w:val="333333"/>
          <w:spacing w:val="0"/>
          <w:kern w:val="0"/>
          <w:sz w:val="32"/>
          <w:szCs w:val="32"/>
          <w:lang w:val="en-US" w:eastAsia="zh-CN" w:bidi="ar"/>
        </w:rPr>
      </w:pPr>
      <w:r>
        <w:rPr>
          <w:rFonts w:hint="eastAsia" w:ascii="Times New Roman" w:hAnsi="Times New Roman" w:eastAsia="仿宋_GB2312" w:cs="仿宋_GB2312"/>
          <w:b w:val="0"/>
          <w:bCs w:val="0"/>
          <w:i w:val="0"/>
          <w:iCs w:val="0"/>
          <w:caps w:val="0"/>
          <w:color w:val="333333"/>
          <w:spacing w:val="0"/>
          <w:kern w:val="0"/>
          <w:sz w:val="32"/>
          <w:szCs w:val="32"/>
          <w:lang w:val="en-US" w:eastAsia="zh-CN" w:bidi="ar"/>
        </w:rPr>
        <w:t>（五）当事人有证据足以证明没有主观过错，法律、行政法规另有规定的，从其规定；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b w:val="0"/>
          <w:bCs w:val="0"/>
          <w:i w:val="0"/>
          <w:iCs w:val="0"/>
          <w:caps w:val="0"/>
          <w:color w:val="333333"/>
          <w:spacing w:val="0"/>
          <w:kern w:val="0"/>
          <w:sz w:val="32"/>
          <w:szCs w:val="32"/>
          <w:lang w:val="en-US" w:eastAsia="zh-CN" w:bidi="ar"/>
        </w:rPr>
      </w:pPr>
      <w:r>
        <w:rPr>
          <w:rFonts w:hint="eastAsia" w:ascii="Times New Roman" w:hAnsi="Times New Roman" w:eastAsia="仿宋_GB2312" w:cs="仿宋_GB2312"/>
          <w:b w:val="0"/>
          <w:bCs w:val="0"/>
          <w:i w:val="0"/>
          <w:iCs w:val="0"/>
          <w:caps w:val="0"/>
          <w:color w:val="333333"/>
          <w:spacing w:val="0"/>
          <w:kern w:val="0"/>
          <w:sz w:val="32"/>
          <w:szCs w:val="32"/>
          <w:lang w:val="en-US" w:eastAsia="zh-CN" w:bidi="ar"/>
        </w:rPr>
        <w:t>（六）违法行为在二年内未被发现的，涉及公民生命健康安全、金融安全且有危害后果的，期限延长至五年；法律另有规定的除外。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b w:val="0"/>
          <w:bCs w:val="0"/>
          <w:i w:val="0"/>
          <w:iCs w:val="0"/>
          <w:caps w:val="0"/>
          <w:color w:val="333333"/>
          <w:spacing w:val="0"/>
          <w:kern w:val="0"/>
          <w:sz w:val="32"/>
          <w:szCs w:val="32"/>
          <w:lang w:val="en-US" w:eastAsia="zh-CN" w:bidi="ar"/>
        </w:rPr>
      </w:pPr>
      <w:r>
        <w:rPr>
          <w:rFonts w:hint="eastAsia" w:ascii="Times New Roman" w:hAnsi="Times New Roman" w:eastAsia="仿宋_GB2312" w:cs="仿宋_GB2312"/>
          <w:b w:val="0"/>
          <w:bCs w:val="0"/>
          <w:i w:val="0"/>
          <w:iCs w:val="0"/>
          <w:caps w:val="0"/>
          <w:color w:val="333333"/>
          <w:spacing w:val="0"/>
          <w:kern w:val="0"/>
          <w:sz w:val="32"/>
          <w:szCs w:val="32"/>
          <w:lang w:val="en-US" w:eastAsia="zh-CN" w:bidi="ar"/>
        </w:rPr>
        <w:t>（七）法律、法规、规章规定不予处罚的其他情形。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b w:val="0"/>
          <w:bCs w:val="0"/>
          <w:i w:val="0"/>
          <w:iCs w:val="0"/>
          <w:caps w:val="0"/>
          <w:color w:val="333333"/>
          <w:spacing w:val="0"/>
          <w:kern w:val="0"/>
          <w:sz w:val="32"/>
          <w:szCs w:val="32"/>
          <w:lang w:val="en-US" w:eastAsia="zh-CN" w:bidi="ar"/>
        </w:rPr>
      </w:pPr>
      <w:r>
        <w:rPr>
          <w:rFonts w:hint="eastAsia" w:ascii="Times New Roman" w:hAnsi="Times New Roman" w:eastAsia="仿宋_GB2312" w:cs="仿宋_GB2312"/>
          <w:b w:val="0"/>
          <w:bCs w:val="0"/>
          <w:i w:val="0"/>
          <w:iCs w:val="0"/>
          <w:caps w:val="0"/>
          <w:color w:val="333333"/>
          <w:spacing w:val="0"/>
          <w:kern w:val="0"/>
          <w:sz w:val="32"/>
          <w:szCs w:val="32"/>
          <w:lang w:val="en-US" w:eastAsia="zh-CN" w:bidi="ar"/>
        </w:rPr>
        <w:t>违法行为超过行政处罚追诉时效的，由医疗保障经办机构按照医疗保障定点服务协议处理；该期限是指从违法行为发生之日起计算，违法行为有连续或继续状态的，从违法行为终了之日起计算。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b w:val="0"/>
          <w:bCs w:val="0"/>
          <w:i w:val="0"/>
          <w:iCs w:val="0"/>
          <w:caps w:val="0"/>
          <w:color w:val="333333"/>
          <w:spacing w:val="0"/>
          <w:kern w:val="0"/>
          <w:sz w:val="32"/>
          <w:szCs w:val="32"/>
          <w:lang w:val="en-US" w:eastAsia="zh-CN" w:bidi="ar"/>
        </w:rPr>
      </w:pPr>
      <w:r>
        <w:rPr>
          <w:rFonts w:hint="eastAsia" w:ascii="Times New Roman" w:hAnsi="Times New Roman" w:eastAsia="仿宋_GB2312" w:cs="仿宋_GB2312"/>
          <w:b w:val="0"/>
          <w:bCs w:val="0"/>
          <w:i w:val="0"/>
          <w:iCs w:val="0"/>
          <w:caps w:val="0"/>
          <w:color w:val="333333"/>
          <w:spacing w:val="0"/>
          <w:kern w:val="0"/>
          <w:sz w:val="32"/>
          <w:szCs w:val="32"/>
          <w:lang w:val="en-US" w:eastAsia="zh-CN" w:bidi="ar"/>
        </w:rPr>
        <w:t>违法行为轻微是指不以骗取医疗保障基金为目的，违法行为单一，违法金额较小。及时改正是指执法人员发现前行为人发现行为违法的自我主动纠正。没有造成危害后果一般是指没有给国家、集体和个人造成财产损失和人身伤害的后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b w:val="0"/>
          <w:bCs w:val="0"/>
          <w:i w:val="0"/>
          <w:iCs w:val="0"/>
          <w:caps w:val="0"/>
          <w:color w:val="333333"/>
          <w:spacing w:val="0"/>
          <w:kern w:val="0"/>
          <w:sz w:val="32"/>
          <w:szCs w:val="32"/>
          <w:lang w:val="en-US" w:eastAsia="zh-CN" w:bidi="ar"/>
        </w:rPr>
      </w:pPr>
      <w:r>
        <w:rPr>
          <w:rFonts w:hint="eastAsia" w:ascii="Times New Roman" w:hAnsi="Times New Roman" w:eastAsia="仿宋_GB2312" w:cs="仿宋_GB2312"/>
          <w:b w:val="0"/>
          <w:bCs w:val="0"/>
          <w:i w:val="0"/>
          <w:iCs w:val="0"/>
          <w:caps w:val="0"/>
          <w:color w:val="333333"/>
          <w:spacing w:val="0"/>
          <w:kern w:val="0"/>
          <w:sz w:val="32"/>
          <w:szCs w:val="32"/>
          <w:lang w:val="en-US" w:eastAsia="zh-CN" w:bidi="ar"/>
        </w:rPr>
        <w:t>第八条  有下列情形之一的，应当从轻或减轻处罚：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b w:val="0"/>
          <w:bCs w:val="0"/>
          <w:i w:val="0"/>
          <w:iCs w:val="0"/>
          <w:caps w:val="0"/>
          <w:color w:val="333333"/>
          <w:spacing w:val="0"/>
          <w:kern w:val="0"/>
          <w:sz w:val="32"/>
          <w:szCs w:val="32"/>
          <w:lang w:val="en-US" w:eastAsia="zh-CN" w:bidi="ar"/>
        </w:rPr>
      </w:pPr>
      <w:r>
        <w:rPr>
          <w:rFonts w:hint="eastAsia" w:ascii="Times New Roman" w:hAnsi="Times New Roman" w:eastAsia="仿宋_GB2312" w:cs="仿宋_GB2312"/>
          <w:b w:val="0"/>
          <w:bCs w:val="0"/>
          <w:i w:val="0"/>
          <w:iCs w:val="0"/>
          <w:caps w:val="0"/>
          <w:color w:val="333333"/>
          <w:spacing w:val="0"/>
          <w:kern w:val="0"/>
          <w:sz w:val="32"/>
          <w:szCs w:val="32"/>
          <w:lang w:val="en-US" w:eastAsia="zh-CN" w:bidi="ar"/>
        </w:rPr>
        <w:t>（一）已满十四周岁不满十八周岁的未成年人；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b w:val="0"/>
          <w:bCs w:val="0"/>
          <w:i w:val="0"/>
          <w:iCs w:val="0"/>
          <w:caps w:val="0"/>
          <w:color w:val="333333"/>
          <w:spacing w:val="0"/>
          <w:kern w:val="0"/>
          <w:sz w:val="32"/>
          <w:szCs w:val="32"/>
          <w:lang w:val="en-US" w:eastAsia="zh-CN" w:bidi="ar"/>
        </w:rPr>
      </w:pPr>
      <w:r>
        <w:rPr>
          <w:rFonts w:hint="eastAsia" w:ascii="Times New Roman" w:hAnsi="Times New Roman" w:eastAsia="仿宋_GB2312" w:cs="仿宋_GB2312"/>
          <w:b w:val="0"/>
          <w:bCs w:val="0"/>
          <w:i w:val="0"/>
          <w:iCs w:val="0"/>
          <w:caps w:val="0"/>
          <w:color w:val="333333"/>
          <w:spacing w:val="0"/>
          <w:kern w:val="0"/>
          <w:sz w:val="32"/>
          <w:szCs w:val="32"/>
          <w:lang w:val="en-US" w:eastAsia="zh-CN" w:bidi="ar"/>
        </w:rPr>
        <w:t>（二）主动消除或减轻违法行为危害后果的；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b w:val="0"/>
          <w:bCs w:val="0"/>
          <w:i w:val="0"/>
          <w:iCs w:val="0"/>
          <w:caps w:val="0"/>
          <w:color w:val="333333"/>
          <w:spacing w:val="0"/>
          <w:kern w:val="0"/>
          <w:sz w:val="32"/>
          <w:szCs w:val="32"/>
          <w:lang w:val="en-US" w:eastAsia="zh-CN" w:bidi="ar"/>
        </w:rPr>
      </w:pPr>
      <w:r>
        <w:rPr>
          <w:rFonts w:hint="eastAsia" w:ascii="Times New Roman" w:hAnsi="Times New Roman" w:eastAsia="仿宋_GB2312" w:cs="仿宋_GB2312"/>
          <w:b w:val="0"/>
          <w:bCs w:val="0"/>
          <w:i w:val="0"/>
          <w:iCs w:val="0"/>
          <w:caps w:val="0"/>
          <w:color w:val="333333"/>
          <w:spacing w:val="0"/>
          <w:kern w:val="0"/>
          <w:sz w:val="32"/>
          <w:szCs w:val="32"/>
          <w:lang w:val="en-US" w:eastAsia="zh-CN" w:bidi="ar"/>
        </w:rPr>
        <w:t>（三）受他人胁迫或者诱骗实施违法行为的；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b w:val="0"/>
          <w:bCs w:val="0"/>
          <w:i w:val="0"/>
          <w:iCs w:val="0"/>
          <w:caps w:val="0"/>
          <w:color w:val="333333"/>
          <w:spacing w:val="0"/>
          <w:kern w:val="0"/>
          <w:sz w:val="32"/>
          <w:szCs w:val="32"/>
          <w:lang w:val="en-US" w:eastAsia="zh-CN" w:bidi="ar"/>
        </w:rPr>
      </w:pPr>
      <w:r>
        <w:rPr>
          <w:rFonts w:hint="eastAsia" w:ascii="Times New Roman" w:hAnsi="Times New Roman" w:eastAsia="仿宋_GB2312" w:cs="仿宋_GB2312"/>
          <w:b w:val="0"/>
          <w:bCs w:val="0"/>
          <w:i w:val="0"/>
          <w:iCs w:val="0"/>
          <w:caps w:val="0"/>
          <w:color w:val="333333"/>
          <w:spacing w:val="0"/>
          <w:kern w:val="0"/>
          <w:sz w:val="32"/>
          <w:szCs w:val="32"/>
          <w:lang w:val="en-US" w:eastAsia="zh-CN" w:bidi="ar"/>
        </w:rPr>
        <w:t>（四）主动供述行政机关尚未掌握的违法使用基金行为的关键线索或证据，并经查证属实的；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b w:val="0"/>
          <w:bCs w:val="0"/>
          <w:i w:val="0"/>
          <w:iCs w:val="0"/>
          <w:caps w:val="0"/>
          <w:color w:val="333333"/>
          <w:spacing w:val="0"/>
          <w:kern w:val="0"/>
          <w:sz w:val="32"/>
          <w:szCs w:val="32"/>
          <w:lang w:val="en-US" w:eastAsia="zh-CN" w:bidi="ar"/>
        </w:rPr>
      </w:pPr>
      <w:r>
        <w:rPr>
          <w:rFonts w:hint="eastAsia" w:ascii="Times New Roman" w:hAnsi="Times New Roman" w:eastAsia="仿宋_GB2312" w:cs="仿宋_GB2312"/>
          <w:b w:val="0"/>
          <w:bCs w:val="0"/>
          <w:i w:val="0"/>
          <w:iCs w:val="0"/>
          <w:caps w:val="0"/>
          <w:color w:val="333333"/>
          <w:spacing w:val="0"/>
          <w:kern w:val="0"/>
          <w:sz w:val="32"/>
          <w:szCs w:val="32"/>
          <w:lang w:val="en-US" w:eastAsia="zh-CN" w:bidi="ar"/>
        </w:rPr>
        <w:t>（五）积极配合行政机关查处违法行为、如实陈述违法事实并主动提供证据材料的；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b w:val="0"/>
          <w:bCs w:val="0"/>
          <w:i w:val="0"/>
          <w:iCs w:val="0"/>
          <w:caps w:val="0"/>
          <w:color w:val="333333"/>
          <w:spacing w:val="0"/>
          <w:kern w:val="0"/>
          <w:sz w:val="32"/>
          <w:szCs w:val="32"/>
          <w:lang w:val="en-US" w:eastAsia="zh-CN" w:bidi="ar"/>
        </w:rPr>
      </w:pPr>
      <w:r>
        <w:rPr>
          <w:rFonts w:hint="eastAsia" w:ascii="Times New Roman" w:hAnsi="Times New Roman" w:eastAsia="仿宋_GB2312" w:cs="仿宋_GB2312"/>
          <w:b w:val="0"/>
          <w:bCs w:val="0"/>
          <w:i w:val="0"/>
          <w:iCs w:val="0"/>
          <w:caps w:val="0"/>
          <w:color w:val="333333"/>
          <w:spacing w:val="0"/>
          <w:kern w:val="0"/>
          <w:sz w:val="32"/>
          <w:szCs w:val="32"/>
          <w:lang w:val="en-US" w:eastAsia="zh-CN" w:bidi="ar"/>
        </w:rPr>
        <w:t>（六）主动投案向行政机关如实交代违法行为的；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b w:val="0"/>
          <w:bCs w:val="0"/>
          <w:i w:val="0"/>
          <w:iCs w:val="0"/>
          <w:caps w:val="0"/>
          <w:color w:val="333333"/>
          <w:spacing w:val="0"/>
          <w:kern w:val="0"/>
          <w:sz w:val="32"/>
          <w:szCs w:val="32"/>
          <w:lang w:val="en-US" w:eastAsia="zh-CN" w:bidi="ar"/>
        </w:rPr>
      </w:pPr>
      <w:r>
        <w:rPr>
          <w:rFonts w:hint="eastAsia" w:ascii="Times New Roman" w:hAnsi="Times New Roman" w:eastAsia="仿宋_GB2312" w:cs="仿宋_GB2312"/>
          <w:b w:val="0"/>
          <w:bCs w:val="0"/>
          <w:i w:val="0"/>
          <w:iCs w:val="0"/>
          <w:caps w:val="0"/>
          <w:color w:val="333333"/>
          <w:spacing w:val="0"/>
          <w:kern w:val="0"/>
          <w:sz w:val="32"/>
          <w:szCs w:val="32"/>
          <w:lang w:val="en-US" w:eastAsia="zh-CN" w:bidi="ar"/>
        </w:rPr>
        <w:t>（七）法律、法规、规章规定应当从轻或减轻处罚的其他情形。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b w:val="0"/>
          <w:bCs w:val="0"/>
          <w:i w:val="0"/>
          <w:iCs w:val="0"/>
          <w:caps w:val="0"/>
          <w:color w:val="333333"/>
          <w:spacing w:val="0"/>
          <w:kern w:val="0"/>
          <w:sz w:val="32"/>
          <w:szCs w:val="32"/>
          <w:lang w:val="en-US" w:eastAsia="zh-CN" w:bidi="ar"/>
        </w:rPr>
      </w:pPr>
      <w:r>
        <w:rPr>
          <w:rFonts w:hint="eastAsia" w:ascii="Times New Roman" w:hAnsi="Times New Roman" w:eastAsia="仿宋_GB2312" w:cs="仿宋_GB2312"/>
          <w:b w:val="0"/>
          <w:bCs w:val="0"/>
          <w:i w:val="0"/>
          <w:iCs w:val="0"/>
          <w:caps w:val="0"/>
          <w:color w:val="333333"/>
          <w:spacing w:val="0"/>
          <w:kern w:val="0"/>
          <w:sz w:val="32"/>
          <w:szCs w:val="32"/>
          <w:lang w:val="en-US" w:eastAsia="zh-CN" w:bidi="ar"/>
        </w:rPr>
        <w:t>第九条  有下列情形之一的，可以从轻或减轻处罚：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b w:val="0"/>
          <w:bCs w:val="0"/>
          <w:i w:val="0"/>
          <w:iCs w:val="0"/>
          <w:caps w:val="0"/>
          <w:color w:val="333333"/>
          <w:spacing w:val="0"/>
          <w:kern w:val="0"/>
          <w:sz w:val="32"/>
          <w:szCs w:val="32"/>
          <w:lang w:val="en-US" w:eastAsia="zh-CN" w:bidi="ar"/>
        </w:rPr>
      </w:pPr>
      <w:r>
        <w:rPr>
          <w:rFonts w:hint="eastAsia" w:ascii="Times New Roman" w:hAnsi="Times New Roman" w:eastAsia="仿宋_GB2312" w:cs="仿宋_GB2312"/>
          <w:b w:val="0"/>
          <w:bCs w:val="0"/>
          <w:i w:val="0"/>
          <w:iCs w:val="0"/>
          <w:caps w:val="0"/>
          <w:color w:val="333333"/>
          <w:spacing w:val="0"/>
          <w:kern w:val="0"/>
          <w:sz w:val="32"/>
          <w:szCs w:val="32"/>
          <w:lang w:val="en-US" w:eastAsia="zh-CN" w:bidi="ar"/>
        </w:rPr>
        <w:t>（一）尚未完全丧失辨认或者控制自己行为能力的精神病人、智力残疾人实施违法行为的；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b w:val="0"/>
          <w:bCs w:val="0"/>
          <w:i w:val="0"/>
          <w:iCs w:val="0"/>
          <w:caps w:val="0"/>
          <w:color w:val="333333"/>
          <w:spacing w:val="0"/>
          <w:kern w:val="0"/>
          <w:sz w:val="32"/>
          <w:szCs w:val="32"/>
          <w:lang w:val="en-US" w:eastAsia="zh-CN" w:bidi="ar"/>
        </w:rPr>
      </w:pPr>
      <w:r>
        <w:rPr>
          <w:rFonts w:hint="eastAsia" w:ascii="Times New Roman" w:hAnsi="Times New Roman" w:eastAsia="仿宋_GB2312" w:cs="仿宋_GB2312"/>
          <w:b w:val="0"/>
          <w:bCs w:val="0"/>
          <w:i w:val="0"/>
          <w:iCs w:val="0"/>
          <w:caps w:val="0"/>
          <w:color w:val="333333"/>
          <w:spacing w:val="0"/>
          <w:kern w:val="0"/>
          <w:sz w:val="32"/>
          <w:szCs w:val="32"/>
          <w:lang w:val="en-US" w:eastAsia="zh-CN" w:bidi="ar"/>
        </w:rPr>
        <w:t>（二）又聋又哑的残疾人或者盲人实施违法行为的；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b w:val="0"/>
          <w:bCs w:val="0"/>
          <w:i w:val="0"/>
          <w:iCs w:val="0"/>
          <w:caps w:val="0"/>
          <w:color w:val="333333"/>
          <w:spacing w:val="0"/>
          <w:kern w:val="0"/>
          <w:sz w:val="32"/>
          <w:szCs w:val="32"/>
          <w:lang w:val="en-US" w:eastAsia="zh-CN" w:bidi="ar"/>
        </w:rPr>
      </w:pPr>
      <w:r>
        <w:rPr>
          <w:rFonts w:hint="eastAsia" w:ascii="Times New Roman" w:hAnsi="Times New Roman" w:eastAsia="仿宋_GB2312" w:cs="仿宋_GB2312"/>
          <w:b w:val="0"/>
          <w:bCs w:val="0"/>
          <w:i w:val="0"/>
          <w:iCs w:val="0"/>
          <w:caps w:val="0"/>
          <w:color w:val="333333"/>
          <w:spacing w:val="0"/>
          <w:kern w:val="0"/>
          <w:sz w:val="32"/>
          <w:szCs w:val="32"/>
          <w:lang w:val="en-US" w:eastAsia="zh-CN" w:bidi="ar"/>
        </w:rPr>
        <w:t>（三）初次违法且危害后果轻微并及时改正的；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b w:val="0"/>
          <w:bCs w:val="0"/>
          <w:i w:val="0"/>
          <w:iCs w:val="0"/>
          <w:caps w:val="0"/>
          <w:color w:val="333333"/>
          <w:spacing w:val="0"/>
          <w:kern w:val="0"/>
          <w:sz w:val="32"/>
          <w:szCs w:val="32"/>
          <w:lang w:val="en-US" w:eastAsia="zh-CN" w:bidi="ar"/>
        </w:rPr>
      </w:pPr>
      <w:r>
        <w:rPr>
          <w:rFonts w:hint="eastAsia" w:ascii="Times New Roman" w:hAnsi="Times New Roman" w:eastAsia="仿宋_GB2312" w:cs="仿宋_GB2312"/>
          <w:b w:val="0"/>
          <w:bCs w:val="0"/>
          <w:i w:val="0"/>
          <w:iCs w:val="0"/>
          <w:caps w:val="0"/>
          <w:color w:val="333333"/>
          <w:spacing w:val="0"/>
          <w:kern w:val="0"/>
          <w:sz w:val="32"/>
          <w:szCs w:val="32"/>
          <w:lang w:val="en-US" w:eastAsia="zh-CN" w:bidi="ar"/>
        </w:rPr>
        <w:t>（四）已满七十五周岁的老年人实施违法行为的；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b w:val="0"/>
          <w:bCs w:val="0"/>
          <w:i w:val="0"/>
          <w:iCs w:val="0"/>
          <w:caps w:val="0"/>
          <w:color w:val="333333"/>
          <w:spacing w:val="0"/>
          <w:kern w:val="0"/>
          <w:sz w:val="32"/>
          <w:szCs w:val="32"/>
          <w:lang w:val="en-US" w:eastAsia="zh-CN" w:bidi="ar"/>
        </w:rPr>
      </w:pPr>
      <w:r>
        <w:rPr>
          <w:rFonts w:hint="eastAsia" w:ascii="Times New Roman" w:hAnsi="Times New Roman" w:eastAsia="仿宋_GB2312" w:cs="仿宋_GB2312"/>
          <w:b w:val="0"/>
          <w:bCs w:val="0"/>
          <w:i w:val="0"/>
          <w:iCs w:val="0"/>
          <w:caps w:val="0"/>
          <w:color w:val="333333"/>
          <w:spacing w:val="0"/>
          <w:kern w:val="0"/>
          <w:sz w:val="32"/>
          <w:szCs w:val="32"/>
          <w:lang w:val="en-US" w:eastAsia="zh-CN" w:bidi="ar"/>
        </w:rPr>
        <w:t>（五）在共同违法行为中起次要、配合作用的；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b w:val="0"/>
          <w:bCs w:val="0"/>
          <w:i w:val="0"/>
          <w:iCs w:val="0"/>
          <w:caps w:val="0"/>
          <w:color w:val="333333"/>
          <w:spacing w:val="0"/>
          <w:kern w:val="0"/>
          <w:sz w:val="32"/>
          <w:szCs w:val="32"/>
          <w:lang w:val="en-US" w:eastAsia="zh-CN" w:bidi="ar"/>
        </w:rPr>
      </w:pPr>
      <w:r>
        <w:rPr>
          <w:rFonts w:hint="eastAsia" w:ascii="Times New Roman" w:hAnsi="Times New Roman" w:eastAsia="仿宋_GB2312" w:cs="仿宋_GB2312"/>
          <w:b w:val="0"/>
          <w:bCs w:val="0"/>
          <w:i w:val="0"/>
          <w:iCs w:val="0"/>
          <w:caps w:val="0"/>
          <w:color w:val="333333"/>
          <w:spacing w:val="0"/>
          <w:kern w:val="0"/>
          <w:sz w:val="32"/>
          <w:szCs w:val="32"/>
          <w:lang w:val="en-US" w:eastAsia="zh-CN" w:bidi="ar"/>
        </w:rPr>
        <w:t>（六）法律、法规、规章规定可以从轻或减轻处罚的其他情形。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b w:val="0"/>
          <w:bCs w:val="0"/>
          <w:i w:val="0"/>
          <w:iCs w:val="0"/>
          <w:caps w:val="0"/>
          <w:color w:val="333333"/>
          <w:spacing w:val="0"/>
          <w:kern w:val="0"/>
          <w:sz w:val="32"/>
          <w:szCs w:val="32"/>
          <w:lang w:val="en-US" w:eastAsia="zh-CN" w:bidi="ar"/>
        </w:rPr>
      </w:pPr>
      <w:r>
        <w:rPr>
          <w:rFonts w:hint="eastAsia" w:ascii="Times New Roman" w:hAnsi="Times New Roman" w:eastAsia="仿宋_GB2312" w:cs="仿宋_GB2312"/>
          <w:b w:val="0"/>
          <w:bCs w:val="0"/>
          <w:i w:val="0"/>
          <w:iCs w:val="0"/>
          <w:caps w:val="0"/>
          <w:color w:val="333333"/>
          <w:spacing w:val="0"/>
          <w:kern w:val="0"/>
          <w:sz w:val="32"/>
          <w:szCs w:val="32"/>
          <w:lang w:val="en-US" w:eastAsia="zh-CN" w:bidi="ar"/>
        </w:rPr>
        <w:t>第十条  有下列情形之一的，应当从重处罚：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b w:val="0"/>
          <w:bCs w:val="0"/>
          <w:i w:val="0"/>
          <w:iCs w:val="0"/>
          <w:caps w:val="0"/>
          <w:color w:val="333333"/>
          <w:spacing w:val="0"/>
          <w:kern w:val="0"/>
          <w:sz w:val="32"/>
          <w:szCs w:val="32"/>
          <w:lang w:val="en-US" w:eastAsia="zh-CN" w:bidi="ar"/>
        </w:rPr>
      </w:pPr>
      <w:r>
        <w:rPr>
          <w:rFonts w:hint="eastAsia" w:ascii="Times New Roman" w:hAnsi="Times New Roman" w:eastAsia="仿宋_GB2312" w:cs="仿宋_GB2312"/>
          <w:b w:val="0"/>
          <w:bCs w:val="0"/>
          <w:i w:val="0"/>
          <w:iCs w:val="0"/>
          <w:caps w:val="0"/>
          <w:color w:val="333333"/>
          <w:spacing w:val="0"/>
          <w:kern w:val="0"/>
          <w:sz w:val="32"/>
          <w:szCs w:val="32"/>
          <w:lang w:val="en-US" w:eastAsia="zh-CN" w:bidi="ar"/>
        </w:rPr>
        <w:t>（一）违法情节恶劣，造成严重危害后果的；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b w:val="0"/>
          <w:bCs w:val="0"/>
          <w:i w:val="0"/>
          <w:iCs w:val="0"/>
          <w:caps w:val="0"/>
          <w:color w:val="333333"/>
          <w:spacing w:val="0"/>
          <w:kern w:val="0"/>
          <w:sz w:val="32"/>
          <w:szCs w:val="32"/>
          <w:lang w:val="en-US" w:eastAsia="zh-CN" w:bidi="ar"/>
        </w:rPr>
      </w:pPr>
      <w:r>
        <w:rPr>
          <w:rFonts w:hint="eastAsia" w:ascii="Times New Roman" w:hAnsi="Times New Roman" w:eastAsia="仿宋_GB2312" w:cs="仿宋_GB2312"/>
          <w:b w:val="0"/>
          <w:bCs w:val="0"/>
          <w:i w:val="0"/>
          <w:iCs w:val="0"/>
          <w:caps w:val="0"/>
          <w:color w:val="333333"/>
          <w:spacing w:val="0"/>
          <w:kern w:val="0"/>
          <w:sz w:val="32"/>
          <w:szCs w:val="32"/>
          <w:lang w:val="en-US" w:eastAsia="zh-CN" w:bidi="ar"/>
        </w:rPr>
        <w:t>（二）责令改正拒不改正，或者一年内实施两次以上同一性质违法行为的；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b w:val="0"/>
          <w:bCs w:val="0"/>
          <w:i w:val="0"/>
          <w:iCs w:val="0"/>
          <w:caps w:val="0"/>
          <w:color w:val="333333"/>
          <w:spacing w:val="0"/>
          <w:kern w:val="0"/>
          <w:sz w:val="32"/>
          <w:szCs w:val="32"/>
          <w:lang w:val="en-US" w:eastAsia="zh-CN" w:bidi="ar"/>
        </w:rPr>
      </w:pPr>
      <w:r>
        <w:rPr>
          <w:rFonts w:hint="eastAsia" w:ascii="Times New Roman" w:hAnsi="Times New Roman" w:eastAsia="仿宋_GB2312" w:cs="仿宋_GB2312"/>
          <w:b w:val="0"/>
          <w:bCs w:val="0"/>
          <w:i w:val="0"/>
          <w:iCs w:val="0"/>
          <w:caps w:val="0"/>
          <w:color w:val="333333"/>
          <w:spacing w:val="0"/>
          <w:kern w:val="0"/>
          <w:sz w:val="32"/>
          <w:szCs w:val="32"/>
          <w:lang w:val="en-US" w:eastAsia="zh-CN" w:bidi="ar"/>
        </w:rPr>
        <w:t>（三）妨碍、阻挠或者抗拒执法人员依法调查、处理其违法行为的；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b w:val="0"/>
          <w:bCs w:val="0"/>
          <w:i w:val="0"/>
          <w:iCs w:val="0"/>
          <w:caps w:val="0"/>
          <w:color w:val="333333"/>
          <w:spacing w:val="0"/>
          <w:kern w:val="0"/>
          <w:sz w:val="32"/>
          <w:szCs w:val="32"/>
          <w:lang w:val="en-US" w:eastAsia="zh-CN" w:bidi="ar"/>
        </w:rPr>
      </w:pPr>
      <w:r>
        <w:rPr>
          <w:rFonts w:hint="eastAsia" w:ascii="Times New Roman" w:hAnsi="Times New Roman" w:eastAsia="仿宋_GB2312" w:cs="仿宋_GB2312"/>
          <w:b w:val="0"/>
          <w:bCs w:val="0"/>
          <w:i w:val="0"/>
          <w:iCs w:val="0"/>
          <w:caps w:val="0"/>
          <w:color w:val="333333"/>
          <w:spacing w:val="0"/>
          <w:kern w:val="0"/>
          <w:sz w:val="32"/>
          <w:szCs w:val="32"/>
          <w:lang w:val="en-US" w:eastAsia="zh-CN" w:bidi="ar"/>
        </w:rPr>
        <w:t>（四）故意转移、隐匿、毁坏或伪造证据，或者对举报投诉人、证人打击报复的；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b w:val="0"/>
          <w:bCs w:val="0"/>
          <w:i w:val="0"/>
          <w:iCs w:val="0"/>
          <w:caps w:val="0"/>
          <w:color w:val="333333"/>
          <w:spacing w:val="0"/>
          <w:kern w:val="0"/>
          <w:sz w:val="32"/>
          <w:szCs w:val="32"/>
          <w:lang w:val="en-US" w:eastAsia="zh-CN" w:bidi="ar"/>
        </w:rPr>
      </w:pPr>
      <w:r>
        <w:rPr>
          <w:rFonts w:hint="eastAsia" w:ascii="Times New Roman" w:hAnsi="Times New Roman" w:eastAsia="仿宋_GB2312" w:cs="仿宋_GB2312"/>
          <w:b w:val="0"/>
          <w:bCs w:val="0"/>
          <w:i w:val="0"/>
          <w:iCs w:val="0"/>
          <w:caps w:val="0"/>
          <w:color w:val="333333"/>
          <w:spacing w:val="0"/>
          <w:kern w:val="0"/>
          <w:sz w:val="32"/>
          <w:szCs w:val="32"/>
          <w:lang w:val="en-US" w:eastAsia="zh-CN" w:bidi="ar"/>
        </w:rPr>
        <w:t>（五）法律、法规、规章规定应当从重处罚的其他情形。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b w:val="0"/>
          <w:bCs w:val="0"/>
          <w:i w:val="0"/>
          <w:iCs w:val="0"/>
          <w:caps w:val="0"/>
          <w:color w:val="333333"/>
          <w:spacing w:val="0"/>
          <w:kern w:val="0"/>
          <w:sz w:val="32"/>
          <w:szCs w:val="32"/>
          <w:lang w:val="en-US" w:eastAsia="zh-CN" w:bidi="ar"/>
        </w:rPr>
      </w:pPr>
      <w:r>
        <w:rPr>
          <w:rFonts w:hint="eastAsia" w:ascii="Times New Roman" w:hAnsi="Times New Roman" w:eastAsia="仿宋_GB2312" w:cs="仿宋_GB2312"/>
          <w:b w:val="0"/>
          <w:bCs w:val="0"/>
          <w:i w:val="0"/>
          <w:iCs w:val="0"/>
          <w:caps w:val="0"/>
          <w:color w:val="333333"/>
          <w:spacing w:val="0"/>
          <w:kern w:val="0"/>
          <w:sz w:val="32"/>
          <w:szCs w:val="32"/>
          <w:lang w:val="en-US" w:eastAsia="zh-CN" w:bidi="ar"/>
        </w:rPr>
        <w:t>第十一条  第八条、第九条、第十条是对违法行为实施行政处罚时考量其从轻、从重的共性因素。除法律、法规、规章另有规定外，罚款处罚的数额按照以下标准确定：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b w:val="0"/>
          <w:bCs w:val="0"/>
          <w:i w:val="0"/>
          <w:iCs w:val="0"/>
          <w:caps w:val="0"/>
          <w:color w:val="333333"/>
          <w:spacing w:val="0"/>
          <w:kern w:val="0"/>
          <w:sz w:val="32"/>
          <w:szCs w:val="32"/>
          <w:lang w:val="en-US" w:eastAsia="zh-CN" w:bidi="ar"/>
        </w:rPr>
      </w:pPr>
      <w:r>
        <w:rPr>
          <w:rFonts w:hint="eastAsia" w:ascii="Times New Roman" w:hAnsi="Times New Roman" w:eastAsia="仿宋_GB2312" w:cs="仿宋_GB2312"/>
          <w:b w:val="0"/>
          <w:bCs w:val="0"/>
          <w:i w:val="0"/>
          <w:iCs w:val="0"/>
          <w:caps w:val="0"/>
          <w:color w:val="333333"/>
          <w:spacing w:val="0"/>
          <w:kern w:val="0"/>
          <w:sz w:val="32"/>
          <w:szCs w:val="32"/>
          <w:lang w:val="en-US" w:eastAsia="zh-CN" w:bidi="ar"/>
        </w:rPr>
        <w:t>（一）罚款为一定幅度的数额，并同时规定了最低罚款数额和最高罚款数额的，从轻处罚应低于最高罚款数额与最低罚款数额的中间值，从重处罚应高于中间值；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b w:val="0"/>
          <w:bCs w:val="0"/>
          <w:i w:val="0"/>
          <w:iCs w:val="0"/>
          <w:caps w:val="0"/>
          <w:color w:val="333333"/>
          <w:spacing w:val="0"/>
          <w:kern w:val="0"/>
          <w:sz w:val="32"/>
          <w:szCs w:val="32"/>
          <w:lang w:val="en-US" w:eastAsia="zh-CN" w:bidi="ar"/>
        </w:rPr>
      </w:pPr>
      <w:r>
        <w:rPr>
          <w:rFonts w:hint="eastAsia" w:ascii="Times New Roman" w:hAnsi="Times New Roman" w:eastAsia="仿宋_GB2312" w:cs="仿宋_GB2312"/>
          <w:b w:val="0"/>
          <w:bCs w:val="0"/>
          <w:i w:val="0"/>
          <w:iCs w:val="0"/>
          <w:caps w:val="0"/>
          <w:color w:val="333333"/>
          <w:spacing w:val="0"/>
          <w:kern w:val="0"/>
          <w:sz w:val="32"/>
          <w:szCs w:val="32"/>
          <w:lang w:val="en-US" w:eastAsia="zh-CN" w:bidi="ar"/>
        </w:rPr>
        <w:t>（二）罚款为一定金额的倍数，并同时规定了最低罚款倍数和最高罚款倍数的，从轻处罚应低于最低罚款倍数和最高罚款倍数的中间倍数，从重处罚应高于中间倍数。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b w:val="0"/>
          <w:bCs w:val="0"/>
          <w:i w:val="0"/>
          <w:iCs w:val="0"/>
          <w:caps w:val="0"/>
          <w:color w:val="333333"/>
          <w:spacing w:val="0"/>
          <w:kern w:val="0"/>
          <w:sz w:val="32"/>
          <w:szCs w:val="32"/>
          <w:lang w:val="en-US" w:eastAsia="zh-CN" w:bidi="ar"/>
        </w:rPr>
      </w:pPr>
      <w:r>
        <w:rPr>
          <w:rFonts w:hint="eastAsia" w:ascii="Times New Roman" w:hAnsi="Times New Roman" w:eastAsia="仿宋_GB2312" w:cs="仿宋_GB2312"/>
          <w:b w:val="0"/>
          <w:bCs w:val="0"/>
          <w:i w:val="0"/>
          <w:iCs w:val="0"/>
          <w:caps w:val="0"/>
          <w:color w:val="333333"/>
          <w:spacing w:val="0"/>
          <w:kern w:val="0"/>
          <w:sz w:val="32"/>
          <w:szCs w:val="32"/>
          <w:lang w:val="en-US" w:eastAsia="zh-CN" w:bidi="ar"/>
        </w:rPr>
        <w:t>第十二条  违法行为人有法定从轻、从重情节的，均应当在法定处罚幅度范围内确定处罚；违法行为人有法定减轻情节的，应当在法定处罚幅度范围的最低限度以下处罚。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b w:val="0"/>
          <w:bCs w:val="0"/>
          <w:i w:val="0"/>
          <w:iCs w:val="0"/>
          <w:caps w:val="0"/>
          <w:color w:val="333333"/>
          <w:spacing w:val="0"/>
          <w:kern w:val="0"/>
          <w:sz w:val="32"/>
          <w:szCs w:val="32"/>
          <w:lang w:val="en-US" w:eastAsia="zh-CN" w:bidi="ar"/>
        </w:rPr>
      </w:pPr>
      <w:r>
        <w:rPr>
          <w:rFonts w:hint="eastAsia" w:ascii="Times New Roman" w:hAnsi="Times New Roman" w:eastAsia="仿宋_GB2312" w:cs="仿宋_GB2312"/>
          <w:b w:val="0"/>
          <w:bCs w:val="0"/>
          <w:i w:val="0"/>
          <w:iCs w:val="0"/>
          <w:caps w:val="0"/>
          <w:color w:val="333333"/>
          <w:spacing w:val="0"/>
          <w:kern w:val="0"/>
          <w:sz w:val="32"/>
          <w:szCs w:val="32"/>
          <w:lang w:val="en-US" w:eastAsia="zh-CN" w:bidi="ar"/>
        </w:rPr>
        <w:t>同时具有两个以上从重情节且不具有从轻或者减轻情节的，应当在违法行为对应的处罚幅度内按最高档次实施处罚。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b w:val="0"/>
          <w:bCs w:val="0"/>
          <w:i w:val="0"/>
          <w:iCs w:val="0"/>
          <w:caps w:val="0"/>
          <w:color w:val="333333"/>
          <w:spacing w:val="0"/>
          <w:kern w:val="0"/>
          <w:sz w:val="32"/>
          <w:szCs w:val="32"/>
          <w:lang w:val="en-US" w:eastAsia="zh-CN" w:bidi="ar"/>
        </w:rPr>
      </w:pPr>
      <w:r>
        <w:rPr>
          <w:rFonts w:hint="eastAsia" w:ascii="Times New Roman" w:hAnsi="Times New Roman" w:eastAsia="仿宋_GB2312" w:cs="仿宋_GB2312"/>
          <w:b w:val="0"/>
          <w:bCs w:val="0"/>
          <w:i w:val="0"/>
          <w:iCs w:val="0"/>
          <w:caps w:val="0"/>
          <w:color w:val="333333"/>
          <w:spacing w:val="0"/>
          <w:kern w:val="0"/>
          <w:sz w:val="32"/>
          <w:szCs w:val="32"/>
          <w:lang w:val="en-US" w:eastAsia="zh-CN" w:bidi="ar"/>
        </w:rPr>
        <w:t>同时具有两个以上从轻情节且不具有从重情节的，应当在违法行为对应的处罚幅度内按最低档次实施处罚。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b w:val="0"/>
          <w:bCs w:val="0"/>
          <w:i w:val="0"/>
          <w:iCs w:val="0"/>
          <w:caps w:val="0"/>
          <w:color w:val="333333"/>
          <w:spacing w:val="0"/>
          <w:kern w:val="0"/>
          <w:sz w:val="32"/>
          <w:szCs w:val="32"/>
          <w:lang w:val="en-US" w:eastAsia="zh-CN" w:bidi="ar"/>
        </w:rPr>
      </w:pPr>
      <w:r>
        <w:rPr>
          <w:rFonts w:hint="eastAsia" w:ascii="Times New Roman" w:hAnsi="Times New Roman" w:eastAsia="仿宋_GB2312" w:cs="仿宋_GB2312"/>
          <w:b w:val="0"/>
          <w:bCs w:val="0"/>
          <w:i w:val="0"/>
          <w:iCs w:val="0"/>
          <w:caps w:val="0"/>
          <w:color w:val="333333"/>
          <w:spacing w:val="0"/>
          <w:kern w:val="0"/>
          <w:sz w:val="32"/>
          <w:szCs w:val="32"/>
          <w:lang w:val="en-US" w:eastAsia="zh-CN" w:bidi="ar"/>
        </w:rPr>
        <w:t>同时具有从重和从轻或减轻情节的，应当根据违法行为的性质和主要情节确定对应的处罚幅度，综合考虑后实施处罚。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b w:val="0"/>
          <w:bCs w:val="0"/>
          <w:i w:val="0"/>
          <w:iCs w:val="0"/>
          <w:caps w:val="0"/>
          <w:color w:val="333333"/>
          <w:spacing w:val="0"/>
          <w:kern w:val="0"/>
          <w:sz w:val="32"/>
          <w:szCs w:val="32"/>
          <w:lang w:val="en-US" w:eastAsia="zh-CN" w:bidi="ar"/>
        </w:rPr>
      </w:pPr>
      <w:r>
        <w:rPr>
          <w:rFonts w:hint="eastAsia" w:ascii="Times New Roman" w:hAnsi="Times New Roman" w:eastAsia="仿宋_GB2312" w:cs="仿宋_GB2312"/>
          <w:b w:val="0"/>
          <w:bCs w:val="0"/>
          <w:i w:val="0"/>
          <w:iCs w:val="0"/>
          <w:caps w:val="0"/>
          <w:color w:val="333333"/>
          <w:spacing w:val="0"/>
          <w:kern w:val="0"/>
          <w:sz w:val="32"/>
          <w:szCs w:val="32"/>
          <w:lang w:val="en-US" w:eastAsia="zh-CN" w:bidi="ar"/>
        </w:rPr>
        <w:t>第十三条  各级医疗保障行政部门在实施行政处罚时，应当根据《浙江省医疗保障行政处罚裁量基准》先确定依法适用的处罚种类和处罚幅度，再根据从重、从轻、减轻等法定裁量事由，并综合考虑其他违法违规情节，作出具体的处罚决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b w:val="0"/>
          <w:bCs w:val="0"/>
          <w:i w:val="0"/>
          <w:iCs w:val="0"/>
          <w:caps w:val="0"/>
          <w:color w:val="333333"/>
          <w:spacing w:val="0"/>
          <w:kern w:val="0"/>
          <w:sz w:val="32"/>
          <w:szCs w:val="32"/>
          <w:lang w:val="en-US" w:eastAsia="zh-CN" w:bidi="ar"/>
        </w:rPr>
      </w:pPr>
      <w:r>
        <w:rPr>
          <w:rFonts w:hint="eastAsia" w:ascii="Times New Roman" w:hAnsi="Times New Roman" w:eastAsia="仿宋_GB2312" w:cs="仿宋_GB2312"/>
          <w:b w:val="0"/>
          <w:bCs w:val="0"/>
          <w:i w:val="0"/>
          <w:iCs w:val="0"/>
          <w:caps w:val="0"/>
          <w:color w:val="333333"/>
          <w:spacing w:val="0"/>
          <w:kern w:val="0"/>
          <w:sz w:val="32"/>
          <w:szCs w:val="32"/>
          <w:lang w:val="en-US" w:eastAsia="zh-CN" w:bidi="ar"/>
        </w:rPr>
        <w:t>第十四条  法律、法规、规章明确规定对行政处罚的种类可以选择单处或者并处的，医疗保障行政部门可以选择适用；法律、法规、规章明确规定应当并处，或者应当先没收违法所得再作其他处罚的，不得选择适用。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b w:val="0"/>
          <w:bCs w:val="0"/>
          <w:i w:val="0"/>
          <w:iCs w:val="0"/>
          <w:caps w:val="0"/>
          <w:color w:val="333333"/>
          <w:spacing w:val="0"/>
          <w:kern w:val="0"/>
          <w:sz w:val="32"/>
          <w:szCs w:val="32"/>
          <w:lang w:val="en-US" w:eastAsia="zh-CN" w:bidi="ar"/>
        </w:rPr>
      </w:pPr>
      <w:r>
        <w:rPr>
          <w:rFonts w:hint="eastAsia" w:ascii="Times New Roman" w:hAnsi="Times New Roman" w:eastAsia="仿宋_GB2312" w:cs="仿宋_GB2312"/>
          <w:b w:val="0"/>
          <w:bCs w:val="0"/>
          <w:i w:val="0"/>
          <w:iCs w:val="0"/>
          <w:caps w:val="0"/>
          <w:color w:val="333333"/>
          <w:spacing w:val="0"/>
          <w:kern w:val="0"/>
          <w:sz w:val="32"/>
          <w:szCs w:val="32"/>
          <w:lang w:val="en-US" w:eastAsia="zh-CN" w:bidi="ar"/>
        </w:rPr>
        <w:t>第十五条  医疗保障行政部门行使行政处罚裁量权，不得有下列情形：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b w:val="0"/>
          <w:bCs w:val="0"/>
          <w:i w:val="0"/>
          <w:iCs w:val="0"/>
          <w:caps w:val="0"/>
          <w:color w:val="333333"/>
          <w:spacing w:val="0"/>
          <w:kern w:val="0"/>
          <w:sz w:val="32"/>
          <w:szCs w:val="32"/>
          <w:lang w:val="en-US" w:eastAsia="zh-CN" w:bidi="ar"/>
        </w:rPr>
      </w:pPr>
      <w:r>
        <w:rPr>
          <w:rFonts w:hint="eastAsia" w:ascii="Times New Roman" w:hAnsi="Times New Roman" w:eastAsia="仿宋_GB2312" w:cs="仿宋_GB2312"/>
          <w:b w:val="0"/>
          <w:bCs w:val="0"/>
          <w:i w:val="0"/>
          <w:iCs w:val="0"/>
          <w:caps w:val="0"/>
          <w:color w:val="333333"/>
          <w:spacing w:val="0"/>
          <w:kern w:val="0"/>
          <w:sz w:val="32"/>
          <w:szCs w:val="32"/>
          <w:lang w:val="en-US" w:eastAsia="zh-CN" w:bidi="ar"/>
        </w:rPr>
        <w:t>（一）违法行为的事实、性质、情节以及社会危害程度与受到的行政处罚相比，畸轻或者畸重；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b w:val="0"/>
          <w:bCs w:val="0"/>
          <w:i w:val="0"/>
          <w:iCs w:val="0"/>
          <w:caps w:val="0"/>
          <w:color w:val="333333"/>
          <w:spacing w:val="0"/>
          <w:kern w:val="0"/>
          <w:sz w:val="32"/>
          <w:szCs w:val="32"/>
          <w:lang w:val="en-US" w:eastAsia="zh-CN" w:bidi="ar"/>
        </w:rPr>
      </w:pPr>
      <w:r>
        <w:rPr>
          <w:rFonts w:hint="eastAsia" w:ascii="Times New Roman" w:hAnsi="Times New Roman" w:eastAsia="仿宋_GB2312" w:cs="仿宋_GB2312"/>
          <w:b w:val="0"/>
          <w:bCs w:val="0"/>
          <w:i w:val="0"/>
          <w:iCs w:val="0"/>
          <w:caps w:val="0"/>
          <w:color w:val="333333"/>
          <w:spacing w:val="0"/>
          <w:kern w:val="0"/>
          <w:sz w:val="32"/>
          <w:szCs w:val="32"/>
          <w:lang w:val="en-US" w:eastAsia="zh-CN" w:bidi="ar"/>
        </w:rPr>
        <w:t>（二）在同一时期同类案件中，不同当事人的违法行为相同或者相近，所受行政处罚差别较大；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b w:val="0"/>
          <w:bCs w:val="0"/>
          <w:i w:val="0"/>
          <w:iCs w:val="0"/>
          <w:caps w:val="0"/>
          <w:color w:val="333333"/>
          <w:spacing w:val="0"/>
          <w:kern w:val="0"/>
          <w:sz w:val="32"/>
          <w:szCs w:val="32"/>
          <w:lang w:val="en-US" w:eastAsia="zh-CN" w:bidi="ar"/>
        </w:rPr>
      </w:pPr>
      <w:r>
        <w:rPr>
          <w:rFonts w:hint="eastAsia" w:ascii="Times New Roman" w:hAnsi="Times New Roman" w:eastAsia="仿宋_GB2312" w:cs="仿宋_GB2312"/>
          <w:b w:val="0"/>
          <w:bCs w:val="0"/>
          <w:i w:val="0"/>
          <w:iCs w:val="0"/>
          <w:caps w:val="0"/>
          <w:color w:val="333333"/>
          <w:spacing w:val="0"/>
          <w:kern w:val="0"/>
          <w:sz w:val="32"/>
          <w:szCs w:val="32"/>
          <w:lang w:val="en-US" w:eastAsia="zh-CN" w:bidi="ar"/>
        </w:rPr>
        <w:t>（三）依法应当不予行政处罚或者应当从轻、减轻行政处罚的，给予处罚或未从轻、减轻行政处罚；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b w:val="0"/>
          <w:bCs w:val="0"/>
          <w:i w:val="0"/>
          <w:iCs w:val="0"/>
          <w:caps w:val="0"/>
          <w:color w:val="333333"/>
          <w:spacing w:val="0"/>
          <w:kern w:val="0"/>
          <w:sz w:val="32"/>
          <w:szCs w:val="32"/>
          <w:lang w:val="en-US" w:eastAsia="zh-CN" w:bidi="ar"/>
        </w:rPr>
      </w:pPr>
      <w:r>
        <w:rPr>
          <w:rFonts w:hint="eastAsia" w:ascii="Times New Roman" w:hAnsi="Times New Roman" w:eastAsia="仿宋_GB2312" w:cs="仿宋_GB2312"/>
          <w:b w:val="0"/>
          <w:bCs w:val="0"/>
          <w:i w:val="0"/>
          <w:iCs w:val="0"/>
          <w:caps w:val="0"/>
          <w:color w:val="333333"/>
          <w:spacing w:val="0"/>
          <w:kern w:val="0"/>
          <w:sz w:val="32"/>
          <w:szCs w:val="32"/>
          <w:lang w:val="en-US" w:eastAsia="zh-CN" w:bidi="ar"/>
        </w:rPr>
        <w:t>（四）其他滥用行政处罚裁量权的情形。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b w:val="0"/>
          <w:bCs w:val="0"/>
          <w:i w:val="0"/>
          <w:iCs w:val="0"/>
          <w:caps w:val="0"/>
          <w:color w:val="333333"/>
          <w:spacing w:val="0"/>
          <w:kern w:val="0"/>
          <w:sz w:val="32"/>
          <w:szCs w:val="32"/>
          <w:lang w:val="en-US" w:eastAsia="zh-CN" w:bidi="ar"/>
        </w:rPr>
      </w:pPr>
      <w:r>
        <w:rPr>
          <w:rFonts w:hint="eastAsia" w:ascii="Times New Roman" w:hAnsi="Times New Roman" w:eastAsia="仿宋_GB2312" w:cs="仿宋_GB2312"/>
          <w:b w:val="0"/>
          <w:bCs w:val="0"/>
          <w:i w:val="0"/>
          <w:iCs w:val="0"/>
          <w:caps w:val="0"/>
          <w:color w:val="333333"/>
          <w:spacing w:val="0"/>
          <w:kern w:val="0"/>
          <w:sz w:val="32"/>
          <w:szCs w:val="32"/>
          <w:lang w:val="en-US" w:eastAsia="zh-CN" w:bidi="ar"/>
        </w:rPr>
        <w:t>第十六条  因行使行政处罚裁量权不当，导致医疗保障行政处罚显失公正，构成执法过错的，应当限期改正并依照相关规定追究有关人员的过错责任。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b w:val="0"/>
          <w:bCs w:val="0"/>
          <w:i w:val="0"/>
          <w:iCs w:val="0"/>
          <w:caps w:val="0"/>
          <w:color w:val="333333"/>
          <w:spacing w:val="0"/>
          <w:kern w:val="0"/>
          <w:sz w:val="32"/>
          <w:szCs w:val="32"/>
          <w:lang w:val="en-US" w:eastAsia="zh-CN" w:bidi="ar"/>
        </w:rPr>
      </w:pPr>
      <w:r>
        <w:rPr>
          <w:rFonts w:hint="eastAsia" w:ascii="Times New Roman" w:hAnsi="Times New Roman" w:eastAsia="仿宋_GB2312" w:cs="仿宋_GB2312"/>
          <w:b w:val="0"/>
          <w:bCs w:val="0"/>
          <w:i w:val="0"/>
          <w:iCs w:val="0"/>
          <w:caps w:val="0"/>
          <w:color w:val="333333"/>
          <w:spacing w:val="0"/>
          <w:kern w:val="0"/>
          <w:sz w:val="32"/>
          <w:szCs w:val="32"/>
          <w:lang w:val="en-US" w:eastAsia="zh-CN" w:bidi="ar"/>
        </w:rPr>
        <w:t>第十七条  本办法所称的“以上”、“以下”均包括本数，“低于”、“高于”不包括本数。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b w:val="0"/>
          <w:bCs w:val="0"/>
          <w:i w:val="0"/>
          <w:iCs w:val="0"/>
          <w:caps w:val="0"/>
          <w:color w:val="333333"/>
          <w:spacing w:val="0"/>
          <w:kern w:val="0"/>
          <w:sz w:val="32"/>
          <w:szCs w:val="32"/>
          <w:lang w:val="en-US" w:eastAsia="zh-CN" w:bidi="ar"/>
        </w:rPr>
      </w:pPr>
      <w:r>
        <w:rPr>
          <w:rFonts w:hint="eastAsia" w:ascii="Times New Roman" w:hAnsi="Times New Roman" w:eastAsia="仿宋_GB2312" w:cs="仿宋_GB2312"/>
          <w:b w:val="0"/>
          <w:bCs w:val="0"/>
          <w:i w:val="0"/>
          <w:iCs w:val="0"/>
          <w:caps w:val="0"/>
          <w:color w:val="333333"/>
          <w:spacing w:val="0"/>
          <w:kern w:val="0"/>
          <w:sz w:val="32"/>
          <w:szCs w:val="32"/>
          <w:lang w:val="en-US" w:eastAsia="zh-CN" w:bidi="ar"/>
        </w:rPr>
        <w:t>第十八条  本办法自2023年1月1日起实施。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b w:val="0"/>
          <w:bCs w:val="0"/>
          <w:i w:val="0"/>
          <w:iCs w:val="0"/>
          <w:caps w:val="0"/>
          <w:color w:val="333333"/>
          <w:spacing w:val="0"/>
          <w:kern w:val="0"/>
          <w:sz w:val="32"/>
          <w:szCs w:val="32"/>
          <w:lang w:val="en-US" w:eastAsia="zh-CN" w:bidi="ar"/>
        </w:rPr>
      </w:pPr>
      <w:r>
        <w:rPr>
          <w:rFonts w:hint="eastAsia" w:ascii="Times New Roman" w:hAnsi="Times New Roman" w:eastAsia="仿宋_GB2312" w:cs="仿宋_GB2312"/>
          <w:b w:val="0"/>
          <w:bCs w:val="0"/>
          <w:i w:val="0"/>
          <w:iCs w:val="0"/>
          <w:caps w:val="0"/>
          <w:color w:val="333333"/>
          <w:spacing w:val="0"/>
          <w:kern w:val="0"/>
          <w:sz w:val="32"/>
          <w:szCs w:val="32"/>
          <w:lang w:val="en-US" w:eastAsia="zh-CN" w:bidi="ar"/>
        </w:rPr>
        <w:t>附件：浙江省医疗保障行政处罚裁量基准</w:t>
      </w:r>
    </w:p>
    <w:p>
      <w:pPr>
        <w:rPr>
          <w:rFonts w:hint="eastAsia" w:ascii="Times New Roman" w:hAnsi="Times New Roman" w:eastAsia="仿宋_GB2312" w:cs="仿宋_GB2312"/>
          <w:b w:val="0"/>
          <w:bCs w:val="0"/>
          <w:i w:val="0"/>
          <w:iCs w:val="0"/>
          <w:caps w:val="0"/>
          <w:color w:val="333333"/>
          <w:spacing w:val="0"/>
          <w:kern w:val="0"/>
          <w:sz w:val="32"/>
          <w:szCs w:val="32"/>
          <w:lang w:val="en-US" w:eastAsia="zh-CN" w:bidi="ar"/>
        </w:rPr>
      </w:pPr>
    </w:p>
    <w:p>
      <w:pPr>
        <w:rPr>
          <w:rFonts w:hint="eastAsia" w:ascii="Times New Roman" w:hAnsi="Times New Roman" w:eastAsia="仿宋_GB2312" w:cs="仿宋_GB2312"/>
          <w:b w:val="0"/>
          <w:bCs w:val="0"/>
          <w:i w:val="0"/>
          <w:iCs w:val="0"/>
          <w:caps w:val="0"/>
          <w:color w:val="333333"/>
          <w:spacing w:val="0"/>
          <w:kern w:val="0"/>
          <w:sz w:val="32"/>
          <w:szCs w:val="32"/>
          <w:lang w:val="en-US" w:eastAsia="zh-CN" w:bidi="ar"/>
        </w:rPr>
      </w:pPr>
    </w:p>
    <w:p>
      <w:pPr>
        <w:rPr>
          <w:rFonts w:hint="eastAsia" w:ascii="Times New Roman" w:hAnsi="Times New Roman" w:eastAsia="仿宋_GB2312" w:cs="仿宋_GB2312"/>
          <w:b w:val="0"/>
          <w:bCs w:val="0"/>
          <w:i w:val="0"/>
          <w:iCs w:val="0"/>
          <w:caps w:val="0"/>
          <w:color w:val="333333"/>
          <w:spacing w:val="0"/>
          <w:kern w:val="0"/>
          <w:sz w:val="32"/>
          <w:szCs w:val="32"/>
          <w:lang w:val="en-US" w:eastAsia="zh-CN" w:bidi="ar"/>
        </w:rPr>
      </w:pPr>
    </w:p>
    <w:p>
      <w:pPr>
        <w:rPr>
          <w:rFonts w:hint="eastAsia" w:ascii="Times New Roman" w:hAnsi="Times New Roman" w:eastAsia="仿宋_GB2312" w:cs="仿宋_GB2312"/>
          <w:b w:val="0"/>
          <w:bCs w:val="0"/>
          <w:i w:val="0"/>
          <w:iCs w:val="0"/>
          <w:caps w:val="0"/>
          <w:color w:val="333333"/>
          <w:spacing w:val="0"/>
          <w:kern w:val="0"/>
          <w:sz w:val="32"/>
          <w:szCs w:val="32"/>
          <w:lang w:val="en-US" w:eastAsia="zh-CN" w:bidi="ar"/>
        </w:rPr>
      </w:pPr>
    </w:p>
    <w:p>
      <w:pPr>
        <w:rPr>
          <w:rFonts w:hint="eastAsia" w:ascii="Times New Roman" w:hAnsi="Times New Roman" w:eastAsia="仿宋_GB2312" w:cs="仿宋_GB2312"/>
          <w:b w:val="0"/>
          <w:bCs w:val="0"/>
          <w:i w:val="0"/>
          <w:iCs w:val="0"/>
          <w:caps w:val="0"/>
          <w:color w:val="333333"/>
          <w:spacing w:val="0"/>
          <w:kern w:val="0"/>
          <w:sz w:val="32"/>
          <w:szCs w:val="32"/>
          <w:lang w:val="en-US" w:eastAsia="zh-CN" w:bidi="ar"/>
        </w:rPr>
      </w:pPr>
    </w:p>
    <w:p>
      <w:pPr>
        <w:rPr>
          <w:rFonts w:hint="eastAsia" w:ascii="Times New Roman" w:hAnsi="Times New Roman" w:eastAsia="仿宋_GB2312" w:cs="仿宋_GB2312"/>
          <w:b w:val="0"/>
          <w:bCs w:val="0"/>
          <w:i w:val="0"/>
          <w:iCs w:val="0"/>
          <w:caps w:val="0"/>
          <w:color w:val="333333"/>
          <w:spacing w:val="0"/>
          <w:kern w:val="0"/>
          <w:sz w:val="32"/>
          <w:szCs w:val="32"/>
          <w:lang w:val="en-US" w:eastAsia="zh-CN" w:bidi="ar"/>
        </w:rPr>
      </w:pPr>
    </w:p>
    <w:p>
      <w:pPr>
        <w:rPr>
          <w:rFonts w:hint="eastAsia" w:ascii="Times New Roman" w:hAnsi="Times New Roman" w:eastAsia="仿宋_GB2312" w:cs="仿宋_GB2312"/>
          <w:b w:val="0"/>
          <w:bCs w:val="0"/>
          <w:i w:val="0"/>
          <w:iCs w:val="0"/>
          <w:caps w:val="0"/>
          <w:color w:val="333333"/>
          <w:spacing w:val="0"/>
          <w:kern w:val="0"/>
          <w:sz w:val="32"/>
          <w:szCs w:val="32"/>
          <w:lang w:val="en-US" w:eastAsia="zh-CN" w:bidi="ar"/>
        </w:rPr>
      </w:pPr>
    </w:p>
    <w:p>
      <w:pPr>
        <w:rPr>
          <w:rFonts w:hint="eastAsia" w:ascii="Times New Roman" w:hAnsi="Times New Roman" w:eastAsia="仿宋_GB2312" w:cs="仿宋_GB2312"/>
          <w:b w:val="0"/>
          <w:bCs w:val="0"/>
          <w:i w:val="0"/>
          <w:iCs w:val="0"/>
          <w:caps w:val="0"/>
          <w:color w:val="333333"/>
          <w:spacing w:val="0"/>
          <w:kern w:val="0"/>
          <w:sz w:val="32"/>
          <w:szCs w:val="32"/>
          <w:lang w:val="en-US" w:eastAsia="zh-CN" w:bidi="ar"/>
        </w:rPr>
      </w:pPr>
    </w:p>
    <w:p>
      <w:pPr>
        <w:rPr>
          <w:rFonts w:hint="eastAsia" w:ascii="Times New Roman" w:hAnsi="Times New Roman" w:eastAsia="仿宋_GB2312" w:cs="仿宋_GB2312"/>
          <w:b w:val="0"/>
          <w:bCs w:val="0"/>
          <w:i w:val="0"/>
          <w:iCs w:val="0"/>
          <w:caps w:val="0"/>
          <w:color w:val="333333"/>
          <w:spacing w:val="0"/>
          <w:kern w:val="0"/>
          <w:sz w:val="32"/>
          <w:szCs w:val="32"/>
          <w:lang w:val="en-US" w:eastAsia="zh-CN" w:bidi="ar"/>
        </w:rPr>
      </w:pPr>
    </w:p>
    <w:p>
      <w:pPr>
        <w:rPr>
          <w:rFonts w:hint="eastAsia" w:ascii="Times New Roman" w:hAnsi="Times New Roman" w:eastAsia="仿宋_GB2312" w:cs="仿宋_GB2312"/>
          <w:b w:val="0"/>
          <w:bCs w:val="0"/>
          <w:i w:val="0"/>
          <w:iCs w:val="0"/>
          <w:caps w:val="0"/>
          <w:color w:val="333333"/>
          <w:spacing w:val="0"/>
          <w:kern w:val="0"/>
          <w:sz w:val="32"/>
          <w:szCs w:val="32"/>
          <w:lang w:val="en-US" w:eastAsia="zh-CN" w:bidi="ar"/>
        </w:rPr>
      </w:pPr>
    </w:p>
    <w:p>
      <w:pPr>
        <w:rPr>
          <w:rFonts w:hint="eastAsia" w:ascii="Times New Roman" w:hAnsi="Times New Roman" w:eastAsia="仿宋_GB2312" w:cs="仿宋_GB2312"/>
          <w:b w:val="0"/>
          <w:bCs w:val="0"/>
          <w:i w:val="0"/>
          <w:iCs w:val="0"/>
          <w:caps w:val="0"/>
          <w:color w:val="333333"/>
          <w:spacing w:val="0"/>
          <w:kern w:val="0"/>
          <w:sz w:val="32"/>
          <w:szCs w:val="32"/>
          <w:lang w:val="en-US" w:eastAsia="zh-CN" w:bidi="ar"/>
        </w:rPr>
      </w:pPr>
    </w:p>
    <w:p>
      <w:pPr>
        <w:rPr>
          <w:rFonts w:hint="eastAsia" w:ascii="Times New Roman" w:hAnsi="Times New Roman" w:eastAsia="仿宋_GB2312" w:cs="仿宋_GB2312"/>
          <w:b w:val="0"/>
          <w:bCs w:val="0"/>
          <w:i w:val="0"/>
          <w:iCs w:val="0"/>
          <w:caps w:val="0"/>
          <w:color w:val="333333"/>
          <w:spacing w:val="0"/>
          <w:kern w:val="0"/>
          <w:sz w:val="32"/>
          <w:szCs w:val="32"/>
          <w:lang w:val="en-US" w:eastAsia="zh-CN" w:bidi="ar"/>
        </w:rPr>
      </w:pPr>
    </w:p>
    <w:p>
      <w:pPr>
        <w:rPr>
          <w:rFonts w:hint="eastAsia" w:ascii="Times New Roman" w:hAnsi="Times New Roman" w:eastAsia="仿宋_GB2312" w:cs="仿宋_GB2312"/>
          <w:b w:val="0"/>
          <w:bCs w:val="0"/>
          <w:i w:val="0"/>
          <w:iCs w:val="0"/>
          <w:caps w:val="0"/>
          <w:color w:val="333333"/>
          <w:spacing w:val="0"/>
          <w:kern w:val="0"/>
          <w:sz w:val="32"/>
          <w:szCs w:val="32"/>
          <w:lang w:val="en-US" w:eastAsia="zh-CN" w:bidi="ar"/>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right="0"/>
        <w:jc w:val="both"/>
        <w:rPr>
          <w:rFonts w:hint="eastAsia" w:ascii="Times New Roman" w:hAnsi="Times New Roman" w:eastAsia="微软雅黑" w:cs="微软雅黑"/>
          <w:i w:val="0"/>
          <w:iCs w:val="0"/>
          <w:caps w:val="0"/>
          <w:color w:val="333333"/>
          <w:spacing w:val="0"/>
          <w:sz w:val="24"/>
          <w:szCs w:val="24"/>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right="0"/>
        <w:jc w:val="center"/>
        <w:rPr>
          <w:rFonts w:hint="eastAsia" w:ascii="Times New Roman" w:hAnsi="Times New Roman" w:eastAsia="方正小标宋简体" w:cs="方正小标宋简体"/>
          <w:i w:val="0"/>
          <w:iCs w:val="0"/>
          <w:caps w:val="0"/>
          <w:color w:val="333333"/>
          <w:spacing w:val="0"/>
          <w:sz w:val="44"/>
          <w:szCs w:val="44"/>
        </w:rPr>
      </w:pPr>
      <w:r>
        <w:rPr>
          <w:rFonts w:hint="eastAsia" w:ascii="Times New Roman" w:hAnsi="Times New Roman" w:eastAsia="方正小标宋简体" w:cs="方正小标宋简体"/>
          <w:i w:val="0"/>
          <w:iCs w:val="0"/>
          <w:caps w:val="0"/>
          <w:color w:val="333333"/>
          <w:spacing w:val="0"/>
          <w:sz w:val="44"/>
          <w:szCs w:val="44"/>
          <w:shd w:val="clear" w:fill="FFFFFF"/>
        </w:rPr>
        <w:t>浙江省医疗保障行政处罚裁量基准</w:t>
      </w:r>
    </w:p>
    <w:tbl>
      <w:tblPr>
        <w:tblStyle w:val="3"/>
        <w:tblW w:w="9420" w:type="dxa"/>
        <w:tblCellSpacing w:w="0" w:type="dxa"/>
        <w:tblInd w:w="-254"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525"/>
        <w:gridCol w:w="2160"/>
        <w:gridCol w:w="930"/>
        <w:gridCol w:w="1275"/>
        <w:gridCol w:w="2070"/>
        <w:gridCol w:w="24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95" w:hRule="atLeast"/>
          <w:tblCellSpacing w:w="0" w:type="dxa"/>
        </w:trPr>
        <w:tc>
          <w:tcPr>
            <w:tcW w:w="52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Times New Roman" w:hAnsi="Times New Roman" w:eastAsia="黑体" w:cs="黑体"/>
                <w:b w:val="0"/>
                <w:bCs w:val="0"/>
                <w:i w:val="0"/>
                <w:iCs w:val="0"/>
                <w:sz w:val="24"/>
                <w:szCs w:val="24"/>
              </w:rPr>
            </w:pPr>
            <w:r>
              <w:rPr>
                <w:rFonts w:hint="eastAsia" w:ascii="Times New Roman" w:hAnsi="Times New Roman" w:eastAsia="黑体" w:cs="黑体"/>
                <w:b w:val="0"/>
                <w:bCs w:val="0"/>
                <w:i w:val="0"/>
                <w:iCs w:val="0"/>
                <w:color w:val="333333"/>
                <w:sz w:val="24"/>
                <w:szCs w:val="24"/>
              </w:rPr>
              <w:t>序号</w:t>
            </w:r>
          </w:p>
        </w:tc>
        <w:tc>
          <w:tcPr>
            <w:tcW w:w="21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Times New Roman" w:hAnsi="Times New Roman" w:eastAsia="黑体" w:cs="黑体"/>
                <w:b w:val="0"/>
                <w:bCs w:val="0"/>
                <w:i w:val="0"/>
                <w:iCs w:val="0"/>
                <w:sz w:val="24"/>
                <w:szCs w:val="24"/>
              </w:rPr>
            </w:pPr>
            <w:r>
              <w:rPr>
                <w:rFonts w:hint="eastAsia" w:ascii="Times New Roman" w:hAnsi="Times New Roman" w:eastAsia="黑体" w:cs="黑体"/>
                <w:b w:val="0"/>
                <w:bCs w:val="0"/>
                <w:i w:val="0"/>
                <w:iCs w:val="0"/>
                <w:color w:val="333333"/>
                <w:sz w:val="24"/>
                <w:szCs w:val="24"/>
              </w:rPr>
              <w:t>违法行为</w:t>
            </w:r>
          </w:p>
        </w:tc>
        <w:tc>
          <w:tcPr>
            <w:tcW w:w="93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Times New Roman" w:hAnsi="Times New Roman" w:eastAsia="黑体" w:cs="黑体"/>
                <w:b w:val="0"/>
                <w:bCs w:val="0"/>
                <w:i w:val="0"/>
                <w:iCs w:val="0"/>
                <w:sz w:val="24"/>
                <w:szCs w:val="24"/>
              </w:rPr>
            </w:pPr>
            <w:r>
              <w:rPr>
                <w:rFonts w:hint="eastAsia" w:ascii="Times New Roman" w:hAnsi="Times New Roman" w:eastAsia="黑体" w:cs="黑体"/>
                <w:b w:val="0"/>
                <w:bCs w:val="0"/>
                <w:i w:val="0"/>
                <w:iCs w:val="0"/>
                <w:color w:val="333333"/>
                <w:sz w:val="24"/>
                <w:szCs w:val="24"/>
              </w:rPr>
              <w:t>法律依据</w:t>
            </w:r>
          </w:p>
        </w:tc>
        <w:tc>
          <w:tcPr>
            <w:tcW w:w="127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Times New Roman" w:hAnsi="Times New Roman" w:eastAsia="黑体" w:cs="黑体"/>
                <w:b w:val="0"/>
                <w:bCs w:val="0"/>
                <w:i w:val="0"/>
                <w:iCs w:val="0"/>
                <w:sz w:val="24"/>
                <w:szCs w:val="24"/>
              </w:rPr>
            </w:pPr>
            <w:r>
              <w:rPr>
                <w:rFonts w:hint="eastAsia" w:ascii="Times New Roman" w:hAnsi="Times New Roman" w:eastAsia="黑体" w:cs="黑体"/>
                <w:b w:val="0"/>
                <w:bCs w:val="0"/>
                <w:i w:val="0"/>
                <w:iCs w:val="0"/>
                <w:color w:val="333333"/>
                <w:sz w:val="24"/>
                <w:szCs w:val="24"/>
              </w:rPr>
              <w:t>法律责任</w:t>
            </w:r>
          </w:p>
        </w:tc>
        <w:tc>
          <w:tcPr>
            <w:tcW w:w="4530" w:type="dxa"/>
            <w:gridSpan w:val="2"/>
            <w:tcBorders>
              <w:top w:val="single" w:color="auto" w:sz="4" w:space="0"/>
              <w:left w:val="nil"/>
              <w:bottom w:val="single" w:color="auto" w:sz="4" w:space="0"/>
              <w:right w:val="single" w:color="auto"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Times New Roman" w:hAnsi="Times New Roman" w:eastAsia="黑体" w:cs="黑体"/>
                <w:b w:val="0"/>
                <w:bCs w:val="0"/>
                <w:i w:val="0"/>
                <w:iCs w:val="0"/>
                <w:sz w:val="24"/>
                <w:szCs w:val="24"/>
              </w:rPr>
            </w:pPr>
            <w:r>
              <w:rPr>
                <w:rFonts w:hint="eastAsia" w:ascii="Times New Roman" w:hAnsi="Times New Roman" w:eastAsia="黑体" w:cs="黑体"/>
                <w:b w:val="0"/>
                <w:bCs w:val="0"/>
                <w:i w:val="0"/>
                <w:iCs w:val="0"/>
                <w:color w:val="333333"/>
                <w:sz w:val="24"/>
                <w:szCs w:val="24"/>
              </w:rPr>
              <w:t>裁量标准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5" w:hRule="atLeast"/>
          <w:tblCellSpacing w:w="0" w:type="dxa"/>
        </w:trPr>
        <w:tc>
          <w:tcPr>
            <w:tcW w:w="52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imes New Roman" w:hAnsi="Times New Roman" w:eastAsia="黑体" w:cs="黑体"/>
                <w:b/>
                <w:bCs/>
                <w:color w:val="333333"/>
                <w:sz w:val="24"/>
                <w:szCs w:val="24"/>
              </w:rPr>
            </w:pPr>
          </w:p>
        </w:tc>
        <w:tc>
          <w:tcPr>
            <w:tcW w:w="21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imes New Roman" w:hAnsi="Times New Roman" w:eastAsia="黑体" w:cs="黑体"/>
                <w:b/>
                <w:bCs/>
                <w:color w:val="333333"/>
                <w:sz w:val="24"/>
                <w:szCs w:val="24"/>
              </w:rPr>
            </w:pPr>
          </w:p>
        </w:tc>
        <w:tc>
          <w:tcPr>
            <w:tcW w:w="93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imes New Roman" w:hAnsi="Times New Roman" w:eastAsia="黑体" w:cs="黑体"/>
                <w:b/>
                <w:bCs/>
                <w:color w:val="333333"/>
                <w:sz w:val="24"/>
                <w:szCs w:val="24"/>
              </w:rPr>
            </w:pPr>
          </w:p>
        </w:tc>
        <w:tc>
          <w:tcPr>
            <w:tcW w:w="127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imes New Roman" w:hAnsi="Times New Roman" w:eastAsia="黑体" w:cs="黑体"/>
                <w:b/>
                <w:bCs/>
                <w:color w:val="333333"/>
                <w:sz w:val="24"/>
                <w:szCs w:val="24"/>
              </w:rPr>
            </w:pPr>
          </w:p>
        </w:tc>
        <w:tc>
          <w:tcPr>
            <w:tcW w:w="2070" w:type="dxa"/>
            <w:tcBorders>
              <w:top w:val="nil"/>
              <w:left w:val="nil"/>
              <w:bottom w:val="single" w:color="auto" w:sz="4" w:space="0"/>
              <w:right w:val="single" w:color="auto"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Times New Roman" w:hAnsi="Times New Roman" w:eastAsia="黑体" w:cs="黑体"/>
                <w:b w:val="0"/>
                <w:bCs w:val="0"/>
                <w:i w:val="0"/>
                <w:iCs w:val="0"/>
                <w:sz w:val="24"/>
                <w:szCs w:val="24"/>
              </w:rPr>
            </w:pPr>
            <w:r>
              <w:rPr>
                <w:rFonts w:hint="eastAsia" w:ascii="Times New Roman" w:hAnsi="Times New Roman" w:eastAsia="黑体" w:cs="黑体"/>
                <w:b w:val="0"/>
                <w:bCs w:val="0"/>
                <w:i w:val="0"/>
                <w:iCs w:val="0"/>
                <w:color w:val="333333"/>
                <w:sz w:val="24"/>
                <w:szCs w:val="24"/>
              </w:rPr>
              <w:t>行为情形</w:t>
            </w:r>
          </w:p>
        </w:tc>
        <w:tc>
          <w:tcPr>
            <w:tcW w:w="2460" w:type="dxa"/>
            <w:tcBorders>
              <w:top w:val="nil"/>
              <w:left w:val="nil"/>
              <w:bottom w:val="single" w:color="auto" w:sz="4" w:space="0"/>
              <w:right w:val="single" w:color="auto"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Times New Roman" w:hAnsi="Times New Roman" w:eastAsia="黑体" w:cs="黑体"/>
                <w:b w:val="0"/>
                <w:bCs w:val="0"/>
                <w:i w:val="0"/>
                <w:iCs w:val="0"/>
                <w:sz w:val="24"/>
                <w:szCs w:val="24"/>
              </w:rPr>
            </w:pPr>
            <w:r>
              <w:rPr>
                <w:rFonts w:hint="eastAsia" w:ascii="Times New Roman" w:hAnsi="Times New Roman" w:eastAsia="黑体" w:cs="黑体"/>
                <w:b w:val="0"/>
                <w:bCs w:val="0"/>
                <w:i w:val="0"/>
                <w:iCs w:val="0"/>
                <w:color w:val="333333"/>
                <w:sz w:val="24"/>
                <w:szCs w:val="24"/>
              </w:rPr>
              <w:t>处罚幅度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60" w:hRule="atLeast"/>
          <w:tblCellSpacing w:w="0" w:type="dxa"/>
        </w:trPr>
        <w:tc>
          <w:tcPr>
            <w:tcW w:w="525" w:type="dxa"/>
            <w:vMerge w:val="restart"/>
            <w:tcBorders>
              <w:top w:val="nil"/>
              <w:left w:val="single" w:color="auto" w:sz="4" w:space="0"/>
              <w:bottom w:val="single" w:color="auto" w:sz="4" w:space="0"/>
              <w:right w:val="single" w:color="auto"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Times New Roman" w:hAnsi="Times New Roman" w:eastAsia="仿宋_GB2312" w:cs="仿宋_GB2312"/>
                <w:b w:val="0"/>
                <w:bCs w:val="0"/>
                <w:i w:val="0"/>
                <w:iCs w:val="0"/>
                <w:sz w:val="24"/>
                <w:szCs w:val="24"/>
              </w:rPr>
            </w:pPr>
            <w:r>
              <w:rPr>
                <w:rFonts w:hint="eastAsia" w:ascii="Times New Roman" w:hAnsi="Times New Roman" w:eastAsia="仿宋_GB2312" w:cs="仿宋_GB2312"/>
                <w:b w:val="0"/>
                <w:bCs w:val="0"/>
                <w:i w:val="0"/>
                <w:iCs w:val="0"/>
                <w:color w:val="333333"/>
                <w:sz w:val="24"/>
                <w:szCs w:val="24"/>
              </w:rPr>
              <w:t>1</w:t>
            </w:r>
          </w:p>
        </w:tc>
        <w:tc>
          <w:tcPr>
            <w:tcW w:w="2160" w:type="dxa"/>
            <w:vMerge w:val="restart"/>
            <w:tcBorders>
              <w:top w:val="nil"/>
              <w:left w:val="single" w:color="auto" w:sz="4" w:space="0"/>
              <w:bottom w:val="single" w:color="auto" w:sz="4" w:space="0"/>
              <w:right w:val="single" w:color="auto"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Times New Roman" w:hAnsi="Times New Roman" w:eastAsia="仿宋_GB2312" w:cs="仿宋_GB2312"/>
                <w:b w:val="0"/>
                <w:bCs w:val="0"/>
                <w:i w:val="0"/>
                <w:iCs w:val="0"/>
                <w:sz w:val="24"/>
                <w:szCs w:val="24"/>
              </w:rPr>
            </w:pPr>
            <w:r>
              <w:rPr>
                <w:rFonts w:hint="eastAsia" w:ascii="Times New Roman" w:hAnsi="Times New Roman" w:eastAsia="仿宋_GB2312" w:cs="仿宋_GB2312"/>
                <w:b w:val="0"/>
                <w:bCs w:val="0"/>
                <w:i w:val="0"/>
                <w:iCs w:val="0"/>
                <w:color w:val="333333"/>
                <w:sz w:val="24"/>
                <w:szCs w:val="24"/>
              </w:rPr>
              <w:t>医疗保障经办机构通过伪造、变造、隐匿、涂改、销毁医学文书、医学证明、会计凭证、电子信息等有关资料或者虚构医药服务项目等方式，骗取医疗保障基金支出的</w:t>
            </w:r>
          </w:p>
        </w:tc>
        <w:tc>
          <w:tcPr>
            <w:tcW w:w="930" w:type="dxa"/>
            <w:vMerge w:val="restart"/>
            <w:tcBorders>
              <w:top w:val="nil"/>
              <w:left w:val="single" w:color="auto" w:sz="4" w:space="0"/>
              <w:bottom w:val="single" w:color="auto" w:sz="4" w:space="0"/>
              <w:right w:val="single" w:color="auto"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Times New Roman" w:hAnsi="Times New Roman" w:eastAsia="仿宋_GB2312" w:cs="仿宋_GB2312"/>
                <w:b w:val="0"/>
                <w:bCs w:val="0"/>
                <w:i w:val="0"/>
                <w:iCs w:val="0"/>
                <w:sz w:val="24"/>
                <w:szCs w:val="24"/>
              </w:rPr>
            </w:pPr>
            <w:r>
              <w:rPr>
                <w:rFonts w:hint="eastAsia" w:ascii="Times New Roman" w:hAnsi="Times New Roman" w:eastAsia="仿宋_GB2312" w:cs="仿宋_GB2312"/>
                <w:b w:val="0"/>
                <w:bCs w:val="0"/>
                <w:i w:val="0"/>
                <w:iCs w:val="0"/>
                <w:color w:val="333333"/>
                <w:sz w:val="24"/>
                <w:szCs w:val="24"/>
              </w:rPr>
              <w:t>《中华人民共和国社会保险法》第八十七条、《医疗保障基金使用监督管理条例》 第三十七条</w:t>
            </w:r>
          </w:p>
        </w:tc>
        <w:tc>
          <w:tcPr>
            <w:tcW w:w="1275" w:type="dxa"/>
            <w:vMerge w:val="restart"/>
            <w:tcBorders>
              <w:top w:val="nil"/>
              <w:left w:val="single" w:color="auto" w:sz="4" w:space="0"/>
              <w:bottom w:val="single" w:color="auto" w:sz="4" w:space="0"/>
              <w:right w:val="single" w:color="auto"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Times New Roman" w:hAnsi="Times New Roman" w:eastAsia="仿宋_GB2312" w:cs="仿宋_GB2312"/>
                <w:b w:val="0"/>
                <w:bCs w:val="0"/>
                <w:i w:val="0"/>
                <w:iCs w:val="0"/>
                <w:sz w:val="24"/>
                <w:szCs w:val="24"/>
              </w:rPr>
            </w:pPr>
            <w:r>
              <w:rPr>
                <w:rFonts w:hint="eastAsia" w:ascii="Times New Roman" w:hAnsi="Times New Roman" w:eastAsia="仿宋_GB2312" w:cs="仿宋_GB2312"/>
                <w:b w:val="0"/>
                <w:bCs w:val="0"/>
                <w:i w:val="0"/>
                <w:iCs w:val="0"/>
                <w:color w:val="333333"/>
                <w:sz w:val="24"/>
                <w:szCs w:val="24"/>
              </w:rPr>
              <w:t>责令退回，处骗取金额2倍以上5倍以下的罚款，对直接负责的主管人员和其他直接责任人员依法给予处分</w:t>
            </w:r>
          </w:p>
        </w:tc>
        <w:tc>
          <w:tcPr>
            <w:tcW w:w="2070" w:type="dxa"/>
            <w:tcBorders>
              <w:top w:val="nil"/>
              <w:left w:val="nil"/>
              <w:bottom w:val="single" w:color="auto" w:sz="4" w:space="0"/>
              <w:right w:val="single" w:color="auto"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Times New Roman" w:hAnsi="Times New Roman" w:eastAsia="仿宋_GB2312" w:cs="仿宋_GB2312"/>
                <w:b w:val="0"/>
                <w:bCs w:val="0"/>
                <w:i w:val="0"/>
                <w:iCs w:val="0"/>
                <w:sz w:val="24"/>
                <w:szCs w:val="24"/>
              </w:rPr>
            </w:pPr>
            <w:r>
              <w:rPr>
                <w:rFonts w:hint="eastAsia" w:ascii="Times New Roman" w:hAnsi="Times New Roman" w:eastAsia="仿宋_GB2312" w:cs="仿宋_GB2312"/>
                <w:b w:val="0"/>
                <w:bCs w:val="0"/>
                <w:i w:val="0"/>
                <w:iCs w:val="0"/>
                <w:color w:val="333333"/>
                <w:sz w:val="24"/>
                <w:szCs w:val="24"/>
              </w:rPr>
              <w:t>骗取医疗保障基金支出低于6000元的</w:t>
            </w:r>
          </w:p>
        </w:tc>
        <w:tc>
          <w:tcPr>
            <w:tcW w:w="2460" w:type="dxa"/>
            <w:tcBorders>
              <w:top w:val="nil"/>
              <w:left w:val="nil"/>
              <w:bottom w:val="single" w:color="auto" w:sz="4" w:space="0"/>
              <w:right w:val="single" w:color="auto"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Times New Roman" w:hAnsi="Times New Roman" w:eastAsia="仿宋_GB2312" w:cs="仿宋_GB2312"/>
                <w:b w:val="0"/>
                <w:bCs w:val="0"/>
                <w:i w:val="0"/>
                <w:iCs w:val="0"/>
                <w:sz w:val="24"/>
                <w:szCs w:val="24"/>
              </w:rPr>
            </w:pPr>
            <w:r>
              <w:rPr>
                <w:rFonts w:hint="eastAsia" w:ascii="Times New Roman" w:hAnsi="Times New Roman" w:eastAsia="仿宋_GB2312" w:cs="仿宋_GB2312"/>
                <w:b w:val="0"/>
                <w:bCs w:val="0"/>
                <w:i w:val="0"/>
                <w:iCs w:val="0"/>
                <w:color w:val="333333"/>
                <w:sz w:val="24"/>
                <w:szCs w:val="24"/>
              </w:rPr>
              <w:t>处骗取金额2倍的罚款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531" w:hRule="atLeast"/>
          <w:tblCellSpacing w:w="0" w:type="dxa"/>
        </w:trPr>
        <w:tc>
          <w:tcPr>
            <w:tcW w:w="525" w:type="dxa"/>
            <w:vMerge w:val="continue"/>
            <w:tcBorders>
              <w:top w:val="nil"/>
              <w:left w:val="single" w:color="auto" w:sz="4" w:space="0"/>
              <w:bottom w:val="single" w:color="auto" w:sz="4" w:space="0"/>
              <w:right w:val="single" w:color="auto" w:sz="4" w:space="0"/>
            </w:tcBorders>
            <w:shd w:val="clear" w:color="auto" w:fill="auto"/>
            <w:vAlign w:val="center"/>
          </w:tcPr>
          <w:p>
            <w:pPr>
              <w:jc w:val="center"/>
              <w:rPr>
                <w:rFonts w:hint="eastAsia" w:ascii="Times New Roman" w:hAnsi="Times New Roman" w:eastAsia="仿宋_GB2312" w:cs="仿宋_GB2312"/>
                <w:color w:val="333333"/>
                <w:sz w:val="24"/>
                <w:szCs w:val="24"/>
              </w:rPr>
            </w:pPr>
          </w:p>
        </w:tc>
        <w:tc>
          <w:tcPr>
            <w:tcW w:w="2160" w:type="dxa"/>
            <w:vMerge w:val="continue"/>
            <w:tcBorders>
              <w:top w:val="nil"/>
              <w:left w:val="single" w:color="auto" w:sz="4" w:space="0"/>
              <w:bottom w:val="single" w:color="auto" w:sz="4" w:space="0"/>
              <w:right w:val="single" w:color="auto" w:sz="4" w:space="0"/>
            </w:tcBorders>
            <w:shd w:val="clear" w:color="auto" w:fill="auto"/>
            <w:vAlign w:val="center"/>
          </w:tcPr>
          <w:p>
            <w:pPr>
              <w:jc w:val="center"/>
              <w:rPr>
                <w:rFonts w:hint="eastAsia" w:ascii="Times New Roman" w:hAnsi="Times New Roman" w:eastAsia="仿宋_GB2312" w:cs="仿宋_GB2312"/>
                <w:color w:val="333333"/>
                <w:sz w:val="24"/>
                <w:szCs w:val="24"/>
              </w:rPr>
            </w:pPr>
          </w:p>
        </w:tc>
        <w:tc>
          <w:tcPr>
            <w:tcW w:w="930" w:type="dxa"/>
            <w:vMerge w:val="continue"/>
            <w:tcBorders>
              <w:top w:val="nil"/>
              <w:left w:val="single" w:color="auto" w:sz="4" w:space="0"/>
              <w:bottom w:val="single" w:color="auto" w:sz="4" w:space="0"/>
              <w:right w:val="single" w:color="auto" w:sz="4" w:space="0"/>
            </w:tcBorders>
            <w:shd w:val="clear" w:color="auto" w:fill="auto"/>
            <w:vAlign w:val="center"/>
          </w:tcPr>
          <w:p>
            <w:pPr>
              <w:jc w:val="center"/>
              <w:rPr>
                <w:rFonts w:hint="eastAsia" w:ascii="Times New Roman" w:hAnsi="Times New Roman" w:eastAsia="仿宋_GB2312" w:cs="仿宋_GB2312"/>
                <w:color w:val="333333"/>
                <w:sz w:val="24"/>
                <w:szCs w:val="24"/>
              </w:rPr>
            </w:pPr>
          </w:p>
        </w:tc>
        <w:tc>
          <w:tcPr>
            <w:tcW w:w="1275" w:type="dxa"/>
            <w:vMerge w:val="continue"/>
            <w:tcBorders>
              <w:top w:val="nil"/>
              <w:left w:val="single" w:color="auto" w:sz="4" w:space="0"/>
              <w:bottom w:val="single" w:color="auto" w:sz="4" w:space="0"/>
              <w:right w:val="single" w:color="auto" w:sz="4" w:space="0"/>
            </w:tcBorders>
            <w:shd w:val="clear" w:color="auto" w:fill="auto"/>
            <w:vAlign w:val="center"/>
          </w:tcPr>
          <w:p>
            <w:pPr>
              <w:jc w:val="center"/>
              <w:rPr>
                <w:rFonts w:hint="eastAsia" w:ascii="Times New Roman" w:hAnsi="Times New Roman" w:eastAsia="仿宋_GB2312" w:cs="仿宋_GB2312"/>
                <w:color w:val="333333"/>
                <w:sz w:val="24"/>
                <w:szCs w:val="24"/>
              </w:rPr>
            </w:pPr>
          </w:p>
        </w:tc>
        <w:tc>
          <w:tcPr>
            <w:tcW w:w="2070" w:type="dxa"/>
            <w:tcBorders>
              <w:top w:val="nil"/>
              <w:left w:val="nil"/>
              <w:bottom w:val="single" w:color="auto" w:sz="4" w:space="0"/>
              <w:right w:val="single" w:color="auto"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Times New Roman" w:hAnsi="Times New Roman" w:eastAsia="仿宋_GB2312" w:cs="仿宋_GB2312"/>
                <w:b w:val="0"/>
                <w:bCs w:val="0"/>
                <w:i w:val="0"/>
                <w:iCs w:val="0"/>
                <w:sz w:val="24"/>
                <w:szCs w:val="24"/>
              </w:rPr>
            </w:pPr>
            <w:r>
              <w:rPr>
                <w:rFonts w:hint="eastAsia" w:ascii="Times New Roman" w:hAnsi="Times New Roman" w:eastAsia="仿宋_GB2312" w:cs="仿宋_GB2312"/>
                <w:b w:val="0"/>
                <w:bCs w:val="0"/>
                <w:i w:val="0"/>
                <w:iCs w:val="0"/>
                <w:color w:val="333333"/>
                <w:sz w:val="24"/>
                <w:szCs w:val="24"/>
              </w:rPr>
              <w:t>骗取医疗保障基金支出6000元以上10万元以下的</w:t>
            </w:r>
          </w:p>
        </w:tc>
        <w:tc>
          <w:tcPr>
            <w:tcW w:w="2460" w:type="dxa"/>
            <w:tcBorders>
              <w:top w:val="nil"/>
              <w:left w:val="nil"/>
              <w:bottom w:val="single" w:color="auto" w:sz="4" w:space="0"/>
              <w:right w:val="single" w:color="auto"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Times New Roman" w:hAnsi="Times New Roman" w:eastAsia="仿宋_GB2312" w:cs="仿宋_GB2312"/>
                <w:b w:val="0"/>
                <w:bCs w:val="0"/>
                <w:i w:val="0"/>
                <w:iCs w:val="0"/>
                <w:sz w:val="24"/>
                <w:szCs w:val="24"/>
              </w:rPr>
            </w:pPr>
            <w:r>
              <w:rPr>
                <w:rFonts w:hint="eastAsia" w:ascii="Times New Roman" w:hAnsi="Times New Roman" w:eastAsia="仿宋_GB2312" w:cs="仿宋_GB2312"/>
                <w:b w:val="0"/>
                <w:bCs w:val="0"/>
                <w:i w:val="0"/>
                <w:iCs w:val="0"/>
                <w:color w:val="333333"/>
                <w:sz w:val="24"/>
                <w:szCs w:val="24"/>
              </w:rPr>
              <w:t>处骗取金额3倍的罚款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861" w:hRule="atLeast"/>
          <w:tblCellSpacing w:w="0" w:type="dxa"/>
        </w:trPr>
        <w:tc>
          <w:tcPr>
            <w:tcW w:w="525" w:type="dxa"/>
            <w:vMerge w:val="continue"/>
            <w:tcBorders>
              <w:top w:val="nil"/>
              <w:left w:val="single" w:color="auto" w:sz="4" w:space="0"/>
              <w:bottom w:val="single" w:color="auto" w:sz="4" w:space="0"/>
              <w:right w:val="single" w:color="auto" w:sz="4" w:space="0"/>
            </w:tcBorders>
            <w:shd w:val="clear" w:color="auto" w:fill="auto"/>
            <w:vAlign w:val="center"/>
          </w:tcPr>
          <w:p>
            <w:pPr>
              <w:jc w:val="center"/>
              <w:rPr>
                <w:rFonts w:hint="eastAsia" w:ascii="Times New Roman" w:hAnsi="Times New Roman" w:eastAsia="仿宋_GB2312" w:cs="仿宋_GB2312"/>
                <w:color w:val="333333"/>
                <w:sz w:val="24"/>
                <w:szCs w:val="24"/>
              </w:rPr>
            </w:pPr>
          </w:p>
        </w:tc>
        <w:tc>
          <w:tcPr>
            <w:tcW w:w="2160" w:type="dxa"/>
            <w:vMerge w:val="continue"/>
            <w:tcBorders>
              <w:top w:val="nil"/>
              <w:left w:val="single" w:color="auto" w:sz="4" w:space="0"/>
              <w:bottom w:val="single" w:color="auto" w:sz="4" w:space="0"/>
              <w:right w:val="single" w:color="auto" w:sz="4" w:space="0"/>
            </w:tcBorders>
            <w:shd w:val="clear" w:color="auto" w:fill="auto"/>
            <w:vAlign w:val="center"/>
          </w:tcPr>
          <w:p>
            <w:pPr>
              <w:jc w:val="center"/>
              <w:rPr>
                <w:rFonts w:hint="eastAsia" w:ascii="Times New Roman" w:hAnsi="Times New Roman" w:eastAsia="仿宋_GB2312" w:cs="仿宋_GB2312"/>
                <w:color w:val="333333"/>
                <w:sz w:val="24"/>
                <w:szCs w:val="24"/>
              </w:rPr>
            </w:pPr>
          </w:p>
        </w:tc>
        <w:tc>
          <w:tcPr>
            <w:tcW w:w="930" w:type="dxa"/>
            <w:vMerge w:val="continue"/>
            <w:tcBorders>
              <w:top w:val="nil"/>
              <w:left w:val="single" w:color="auto" w:sz="4" w:space="0"/>
              <w:bottom w:val="single" w:color="auto" w:sz="4" w:space="0"/>
              <w:right w:val="single" w:color="auto" w:sz="4" w:space="0"/>
            </w:tcBorders>
            <w:shd w:val="clear" w:color="auto" w:fill="auto"/>
            <w:vAlign w:val="center"/>
          </w:tcPr>
          <w:p>
            <w:pPr>
              <w:jc w:val="center"/>
              <w:rPr>
                <w:rFonts w:hint="eastAsia" w:ascii="Times New Roman" w:hAnsi="Times New Roman" w:eastAsia="仿宋_GB2312" w:cs="仿宋_GB2312"/>
                <w:color w:val="333333"/>
                <w:sz w:val="24"/>
                <w:szCs w:val="24"/>
              </w:rPr>
            </w:pPr>
          </w:p>
        </w:tc>
        <w:tc>
          <w:tcPr>
            <w:tcW w:w="1275" w:type="dxa"/>
            <w:vMerge w:val="continue"/>
            <w:tcBorders>
              <w:top w:val="nil"/>
              <w:left w:val="single" w:color="auto" w:sz="4" w:space="0"/>
              <w:bottom w:val="single" w:color="auto" w:sz="4" w:space="0"/>
              <w:right w:val="single" w:color="auto" w:sz="4" w:space="0"/>
            </w:tcBorders>
            <w:shd w:val="clear" w:color="auto" w:fill="auto"/>
            <w:vAlign w:val="center"/>
          </w:tcPr>
          <w:p>
            <w:pPr>
              <w:jc w:val="center"/>
              <w:rPr>
                <w:rFonts w:hint="eastAsia" w:ascii="Times New Roman" w:hAnsi="Times New Roman" w:eastAsia="仿宋_GB2312" w:cs="仿宋_GB2312"/>
                <w:color w:val="333333"/>
                <w:sz w:val="24"/>
                <w:szCs w:val="24"/>
              </w:rPr>
            </w:pPr>
          </w:p>
        </w:tc>
        <w:tc>
          <w:tcPr>
            <w:tcW w:w="2070" w:type="dxa"/>
            <w:tcBorders>
              <w:top w:val="nil"/>
              <w:left w:val="nil"/>
              <w:bottom w:val="single" w:color="auto" w:sz="4" w:space="0"/>
              <w:right w:val="single" w:color="auto"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Times New Roman" w:hAnsi="Times New Roman" w:eastAsia="仿宋_GB2312" w:cs="仿宋_GB2312"/>
                <w:b w:val="0"/>
                <w:bCs w:val="0"/>
                <w:i w:val="0"/>
                <w:iCs w:val="0"/>
                <w:sz w:val="24"/>
                <w:szCs w:val="24"/>
              </w:rPr>
            </w:pPr>
            <w:r>
              <w:rPr>
                <w:rFonts w:hint="eastAsia" w:ascii="Times New Roman" w:hAnsi="Times New Roman" w:eastAsia="仿宋_GB2312" w:cs="仿宋_GB2312"/>
                <w:b w:val="0"/>
                <w:bCs w:val="0"/>
                <w:i w:val="0"/>
                <w:iCs w:val="0"/>
                <w:color w:val="333333"/>
                <w:sz w:val="24"/>
                <w:szCs w:val="24"/>
              </w:rPr>
              <w:t>骗取医疗保障基金支出高于10万元且在50万元以下的</w:t>
            </w:r>
          </w:p>
        </w:tc>
        <w:tc>
          <w:tcPr>
            <w:tcW w:w="2460" w:type="dxa"/>
            <w:tcBorders>
              <w:top w:val="nil"/>
              <w:left w:val="nil"/>
              <w:bottom w:val="single" w:color="auto" w:sz="4" w:space="0"/>
              <w:right w:val="single" w:color="auto"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Times New Roman" w:hAnsi="Times New Roman" w:eastAsia="仿宋_GB2312" w:cs="仿宋_GB2312"/>
                <w:b w:val="0"/>
                <w:bCs w:val="0"/>
                <w:i w:val="0"/>
                <w:iCs w:val="0"/>
                <w:sz w:val="24"/>
                <w:szCs w:val="24"/>
              </w:rPr>
            </w:pPr>
            <w:r>
              <w:rPr>
                <w:rFonts w:hint="eastAsia" w:ascii="Times New Roman" w:hAnsi="Times New Roman" w:eastAsia="仿宋_GB2312" w:cs="仿宋_GB2312"/>
                <w:b w:val="0"/>
                <w:bCs w:val="0"/>
                <w:i w:val="0"/>
                <w:iCs w:val="0"/>
                <w:color w:val="333333"/>
                <w:sz w:val="24"/>
                <w:szCs w:val="24"/>
              </w:rPr>
              <w:t>处骗取金额4倍的罚款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61" w:hRule="atLeast"/>
          <w:tblCellSpacing w:w="0" w:type="dxa"/>
        </w:trPr>
        <w:tc>
          <w:tcPr>
            <w:tcW w:w="525" w:type="dxa"/>
            <w:vMerge w:val="continue"/>
            <w:tcBorders>
              <w:top w:val="nil"/>
              <w:left w:val="single" w:color="auto" w:sz="4" w:space="0"/>
              <w:bottom w:val="single" w:color="auto" w:sz="4" w:space="0"/>
              <w:right w:val="single" w:color="auto" w:sz="4" w:space="0"/>
            </w:tcBorders>
            <w:shd w:val="clear" w:color="auto" w:fill="auto"/>
            <w:vAlign w:val="center"/>
          </w:tcPr>
          <w:p>
            <w:pPr>
              <w:jc w:val="center"/>
              <w:rPr>
                <w:rFonts w:hint="eastAsia" w:ascii="Times New Roman" w:hAnsi="Times New Roman" w:eastAsia="仿宋_GB2312" w:cs="仿宋_GB2312"/>
                <w:color w:val="333333"/>
                <w:sz w:val="24"/>
                <w:szCs w:val="24"/>
              </w:rPr>
            </w:pPr>
          </w:p>
        </w:tc>
        <w:tc>
          <w:tcPr>
            <w:tcW w:w="2160" w:type="dxa"/>
            <w:vMerge w:val="continue"/>
            <w:tcBorders>
              <w:top w:val="nil"/>
              <w:left w:val="single" w:color="auto" w:sz="4" w:space="0"/>
              <w:bottom w:val="single" w:color="auto" w:sz="4" w:space="0"/>
              <w:right w:val="single" w:color="auto" w:sz="4" w:space="0"/>
            </w:tcBorders>
            <w:shd w:val="clear" w:color="auto" w:fill="auto"/>
            <w:vAlign w:val="center"/>
          </w:tcPr>
          <w:p>
            <w:pPr>
              <w:jc w:val="center"/>
              <w:rPr>
                <w:rFonts w:hint="eastAsia" w:ascii="Times New Roman" w:hAnsi="Times New Roman" w:eastAsia="仿宋_GB2312" w:cs="仿宋_GB2312"/>
                <w:color w:val="333333"/>
                <w:sz w:val="24"/>
                <w:szCs w:val="24"/>
              </w:rPr>
            </w:pPr>
          </w:p>
        </w:tc>
        <w:tc>
          <w:tcPr>
            <w:tcW w:w="930" w:type="dxa"/>
            <w:vMerge w:val="continue"/>
            <w:tcBorders>
              <w:top w:val="nil"/>
              <w:left w:val="single" w:color="auto" w:sz="4" w:space="0"/>
              <w:bottom w:val="single" w:color="auto" w:sz="4" w:space="0"/>
              <w:right w:val="single" w:color="auto" w:sz="4" w:space="0"/>
            </w:tcBorders>
            <w:shd w:val="clear" w:color="auto" w:fill="auto"/>
            <w:vAlign w:val="center"/>
          </w:tcPr>
          <w:p>
            <w:pPr>
              <w:jc w:val="center"/>
              <w:rPr>
                <w:rFonts w:hint="eastAsia" w:ascii="Times New Roman" w:hAnsi="Times New Roman" w:eastAsia="仿宋_GB2312" w:cs="仿宋_GB2312"/>
                <w:color w:val="333333"/>
                <w:sz w:val="24"/>
                <w:szCs w:val="24"/>
              </w:rPr>
            </w:pPr>
          </w:p>
        </w:tc>
        <w:tc>
          <w:tcPr>
            <w:tcW w:w="1275" w:type="dxa"/>
            <w:vMerge w:val="continue"/>
            <w:tcBorders>
              <w:top w:val="nil"/>
              <w:left w:val="single" w:color="auto" w:sz="4" w:space="0"/>
              <w:bottom w:val="single" w:color="auto" w:sz="4" w:space="0"/>
              <w:right w:val="single" w:color="auto" w:sz="4" w:space="0"/>
            </w:tcBorders>
            <w:shd w:val="clear" w:color="auto" w:fill="auto"/>
            <w:vAlign w:val="center"/>
          </w:tcPr>
          <w:p>
            <w:pPr>
              <w:jc w:val="center"/>
              <w:rPr>
                <w:rFonts w:hint="eastAsia" w:ascii="Times New Roman" w:hAnsi="Times New Roman" w:eastAsia="仿宋_GB2312" w:cs="仿宋_GB2312"/>
                <w:color w:val="333333"/>
                <w:sz w:val="24"/>
                <w:szCs w:val="24"/>
              </w:rPr>
            </w:pPr>
          </w:p>
        </w:tc>
        <w:tc>
          <w:tcPr>
            <w:tcW w:w="2070" w:type="dxa"/>
            <w:tcBorders>
              <w:top w:val="nil"/>
              <w:left w:val="nil"/>
              <w:bottom w:val="single" w:color="auto" w:sz="4" w:space="0"/>
              <w:right w:val="single" w:color="auto"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Times New Roman" w:hAnsi="Times New Roman" w:eastAsia="仿宋_GB2312" w:cs="仿宋_GB2312"/>
                <w:b w:val="0"/>
                <w:bCs w:val="0"/>
                <w:i w:val="0"/>
                <w:iCs w:val="0"/>
                <w:sz w:val="24"/>
                <w:szCs w:val="24"/>
              </w:rPr>
            </w:pPr>
            <w:r>
              <w:rPr>
                <w:rFonts w:hint="eastAsia" w:ascii="Times New Roman" w:hAnsi="Times New Roman" w:eastAsia="仿宋_GB2312" w:cs="仿宋_GB2312"/>
                <w:b w:val="0"/>
                <w:bCs w:val="0"/>
                <w:i w:val="0"/>
                <w:iCs w:val="0"/>
                <w:color w:val="333333"/>
                <w:sz w:val="24"/>
                <w:szCs w:val="24"/>
              </w:rPr>
              <w:t>骗取医疗保障基金支出高于50万元的</w:t>
            </w:r>
          </w:p>
        </w:tc>
        <w:tc>
          <w:tcPr>
            <w:tcW w:w="2460" w:type="dxa"/>
            <w:tcBorders>
              <w:top w:val="nil"/>
              <w:left w:val="nil"/>
              <w:bottom w:val="single" w:color="auto" w:sz="4" w:space="0"/>
              <w:right w:val="single" w:color="auto"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Times New Roman" w:hAnsi="Times New Roman" w:eastAsia="仿宋_GB2312" w:cs="仿宋_GB2312"/>
                <w:b w:val="0"/>
                <w:bCs w:val="0"/>
                <w:i w:val="0"/>
                <w:iCs w:val="0"/>
                <w:sz w:val="24"/>
                <w:szCs w:val="24"/>
              </w:rPr>
            </w:pPr>
            <w:r>
              <w:rPr>
                <w:rFonts w:hint="eastAsia" w:ascii="Times New Roman" w:hAnsi="Times New Roman" w:eastAsia="仿宋_GB2312" w:cs="仿宋_GB2312"/>
                <w:b w:val="0"/>
                <w:bCs w:val="0"/>
                <w:i w:val="0"/>
                <w:iCs w:val="0"/>
                <w:color w:val="333333"/>
                <w:sz w:val="24"/>
                <w:szCs w:val="24"/>
              </w:rPr>
              <w:t>处骗取金额5倍的罚款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65" w:hRule="atLeast"/>
          <w:tblCellSpacing w:w="0" w:type="dxa"/>
        </w:trPr>
        <w:tc>
          <w:tcPr>
            <w:tcW w:w="525" w:type="dxa"/>
            <w:vMerge w:val="restart"/>
            <w:tcBorders>
              <w:top w:val="nil"/>
              <w:left w:val="single" w:color="auto" w:sz="4" w:space="0"/>
              <w:bottom w:val="single" w:color="auto" w:sz="4" w:space="0"/>
              <w:right w:val="single" w:color="auto"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Times New Roman" w:hAnsi="Times New Roman" w:eastAsia="仿宋_GB2312" w:cs="仿宋_GB2312"/>
                <w:b w:val="0"/>
                <w:bCs w:val="0"/>
                <w:i w:val="0"/>
                <w:iCs w:val="0"/>
                <w:sz w:val="24"/>
                <w:szCs w:val="24"/>
              </w:rPr>
            </w:pPr>
            <w:r>
              <w:rPr>
                <w:rFonts w:hint="eastAsia" w:ascii="Times New Roman" w:hAnsi="Times New Roman" w:eastAsia="仿宋_GB2312" w:cs="仿宋_GB2312"/>
                <w:b w:val="0"/>
                <w:bCs w:val="0"/>
                <w:i w:val="0"/>
                <w:iCs w:val="0"/>
                <w:color w:val="333333"/>
                <w:sz w:val="24"/>
                <w:szCs w:val="24"/>
              </w:rPr>
              <w:t>2</w:t>
            </w:r>
          </w:p>
        </w:tc>
        <w:tc>
          <w:tcPr>
            <w:tcW w:w="2160" w:type="dxa"/>
            <w:vMerge w:val="restart"/>
            <w:tcBorders>
              <w:top w:val="nil"/>
              <w:left w:val="single" w:color="auto" w:sz="4" w:space="0"/>
              <w:bottom w:val="single" w:color="auto" w:sz="4" w:space="0"/>
              <w:right w:val="single" w:color="auto"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Times New Roman" w:hAnsi="Times New Roman" w:eastAsia="仿宋_GB2312" w:cs="仿宋_GB2312"/>
                <w:b w:val="0"/>
                <w:bCs w:val="0"/>
                <w:i w:val="0"/>
                <w:iCs w:val="0"/>
                <w:sz w:val="24"/>
                <w:szCs w:val="24"/>
              </w:rPr>
            </w:pPr>
            <w:r>
              <w:rPr>
                <w:rFonts w:hint="eastAsia" w:ascii="Times New Roman" w:hAnsi="Times New Roman" w:eastAsia="仿宋_GB2312" w:cs="仿宋_GB2312"/>
                <w:b w:val="0"/>
                <w:bCs w:val="0"/>
                <w:i w:val="0"/>
                <w:iCs w:val="0"/>
                <w:color w:val="333333"/>
                <w:sz w:val="24"/>
                <w:szCs w:val="24"/>
              </w:rPr>
              <w:t>定点医药机构存在分解住院、挂床住院；违反诊疗规范过度诊疗、过度检查、分解处方、超量开药、重复开药或者提供其他不必要的医药服务；重复收费、超标准收费、分解项目收费；串换药品、医用耗材、诊疗项目和服务设施；为参保人员利用其享受医疗保障待遇的机会转卖药品，接受返还现金、实物或者获得其他非法利益提供便利；将不属于医疗保障基金支付范围的医药费用纳入医疗保障基金结算的行为以及其他造成医疗保障基金损失违法行为的</w:t>
            </w:r>
          </w:p>
        </w:tc>
        <w:tc>
          <w:tcPr>
            <w:tcW w:w="930" w:type="dxa"/>
            <w:vMerge w:val="restart"/>
            <w:tcBorders>
              <w:top w:val="nil"/>
              <w:left w:val="single" w:color="auto" w:sz="4" w:space="0"/>
              <w:bottom w:val="single" w:color="auto" w:sz="4" w:space="0"/>
              <w:right w:val="single" w:color="auto"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Times New Roman" w:hAnsi="Times New Roman" w:eastAsia="仿宋_GB2312" w:cs="仿宋_GB2312"/>
                <w:b w:val="0"/>
                <w:bCs w:val="0"/>
                <w:i w:val="0"/>
                <w:iCs w:val="0"/>
                <w:sz w:val="24"/>
                <w:szCs w:val="24"/>
              </w:rPr>
            </w:pPr>
            <w:r>
              <w:rPr>
                <w:rFonts w:hint="eastAsia" w:ascii="Times New Roman" w:hAnsi="Times New Roman" w:eastAsia="仿宋_GB2312" w:cs="仿宋_GB2312"/>
                <w:b w:val="0"/>
                <w:bCs w:val="0"/>
                <w:i w:val="0"/>
                <w:iCs w:val="0"/>
                <w:color w:val="333333"/>
                <w:sz w:val="24"/>
                <w:szCs w:val="24"/>
              </w:rPr>
              <w:t>《医疗保障基金使用监督管理条例》   第三十八条</w:t>
            </w:r>
          </w:p>
        </w:tc>
        <w:tc>
          <w:tcPr>
            <w:tcW w:w="1275" w:type="dxa"/>
            <w:vMerge w:val="restart"/>
            <w:tcBorders>
              <w:top w:val="nil"/>
              <w:left w:val="single" w:color="auto" w:sz="4" w:space="0"/>
              <w:bottom w:val="single" w:color="auto" w:sz="4" w:space="0"/>
              <w:right w:val="single" w:color="auto"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Times New Roman" w:hAnsi="Times New Roman" w:eastAsia="仿宋_GB2312" w:cs="仿宋_GB2312"/>
                <w:b w:val="0"/>
                <w:bCs w:val="0"/>
                <w:i w:val="0"/>
                <w:iCs w:val="0"/>
                <w:sz w:val="24"/>
                <w:szCs w:val="24"/>
              </w:rPr>
            </w:pPr>
            <w:r>
              <w:rPr>
                <w:rFonts w:hint="eastAsia" w:ascii="Times New Roman" w:hAnsi="Times New Roman" w:eastAsia="仿宋_GB2312" w:cs="仿宋_GB2312"/>
                <w:b w:val="0"/>
                <w:bCs w:val="0"/>
                <w:i w:val="0"/>
                <w:iCs w:val="0"/>
                <w:color w:val="333333"/>
                <w:sz w:val="24"/>
                <w:szCs w:val="24"/>
              </w:rPr>
              <w:t>责令改正，并可以约谈有关负责人；造成医疗保障基金损失的，责令退回，处造成损失金额1倍以上2倍以下的罚款，拒不改正或者造成严重后果的，责令定点医药机构暂停相关责任部门6个月以上1年以下涉及医疗保障基金使用的医药服务</w:t>
            </w:r>
          </w:p>
        </w:tc>
        <w:tc>
          <w:tcPr>
            <w:tcW w:w="2070" w:type="dxa"/>
            <w:tcBorders>
              <w:top w:val="nil"/>
              <w:left w:val="nil"/>
              <w:bottom w:val="single" w:color="auto" w:sz="4" w:space="0"/>
              <w:right w:val="single" w:color="auto"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Times New Roman" w:hAnsi="Times New Roman" w:eastAsia="仿宋_GB2312" w:cs="仿宋_GB2312"/>
                <w:b w:val="0"/>
                <w:bCs w:val="0"/>
                <w:i w:val="0"/>
                <w:iCs w:val="0"/>
                <w:sz w:val="24"/>
                <w:szCs w:val="24"/>
              </w:rPr>
            </w:pPr>
            <w:r>
              <w:rPr>
                <w:rFonts w:hint="eastAsia" w:ascii="Times New Roman" w:hAnsi="Times New Roman" w:eastAsia="仿宋_GB2312" w:cs="仿宋_GB2312"/>
                <w:b w:val="0"/>
                <w:bCs w:val="0"/>
                <w:i w:val="0"/>
                <w:iCs w:val="0"/>
                <w:color w:val="333333"/>
                <w:sz w:val="24"/>
                <w:szCs w:val="24"/>
              </w:rPr>
              <w:t>基金损失占该医药机构违法行为发生月至终止月期间医保基金应支付总额的比例低于千分之三的</w:t>
            </w:r>
          </w:p>
        </w:tc>
        <w:tc>
          <w:tcPr>
            <w:tcW w:w="2460" w:type="dxa"/>
            <w:tcBorders>
              <w:top w:val="nil"/>
              <w:left w:val="nil"/>
              <w:bottom w:val="single" w:color="auto" w:sz="4" w:space="0"/>
              <w:right w:val="single" w:color="auto"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Times New Roman" w:hAnsi="Times New Roman" w:eastAsia="仿宋_GB2312" w:cs="仿宋_GB2312"/>
                <w:b w:val="0"/>
                <w:bCs w:val="0"/>
                <w:i w:val="0"/>
                <w:iCs w:val="0"/>
                <w:sz w:val="24"/>
                <w:szCs w:val="24"/>
              </w:rPr>
            </w:pPr>
            <w:r>
              <w:rPr>
                <w:rFonts w:hint="eastAsia" w:ascii="Times New Roman" w:hAnsi="Times New Roman" w:eastAsia="仿宋_GB2312" w:cs="仿宋_GB2312"/>
                <w:b w:val="0"/>
                <w:bCs w:val="0"/>
                <w:i w:val="0"/>
                <w:iCs w:val="0"/>
                <w:color w:val="333333"/>
                <w:sz w:val="24"/>
                <w:szCs w:val="24"/>
              </w:rPr>
              <w:t>处基金损失1倍的罚款；拒不改正或者造成严重后果的，责令定点医药机构暂停相关责任部门6个月涉及医疗保障基金使用的医药服务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86" w:hRule="atLeast"/>
          <w:tblCellSpacing w:w="0" w:type="dxa"/>
        </w:trPr>
        <w:tc>
          <w:tcPr>
            <w:tcW w:w="525" w:type="dxa"/>
            <w:vMerge w:val="continue"/>
            <w:tcBorders>
              <w:top w:val="nil"/>
              <w:left w:val="single" w:color="auto" w:sz="4" w:space="0"/>
              <w:bottom w:val="single" w:color="auto" w:sz="4" w:space="0"/>
              <w:right w:val="single" w:color="auto" w:sz="4" w:space="0"/>
            </w:tcBorders>
            <w:shd w:val="clear" w:color="auto" w:fill="auto"/>
            <w:vAlign w:val="center"/>
          </w:tcPr>
          <w:p>
            <w:pPr>
              <w:jc w:val="center"/>
              <w:rPr>
                <w:rFonts w:hint="eastAsia" w:ascii="Times New Roman" w:hAnsi="Times New Roman" w:eastAsia="仿宋_GB2312" w:cs="仿宋_GB2312"/>
                <w:color w:val="333333"/>
                <w:sz w:val="24"/>
                <w:szCs w:val="24"/>
              </w:rPr>
            </w:pPr>
          </w:p>
        </w:tc>
        <w:tc>
          <w:tcPr>
            <w:tcW w:w="2160" w:type="dxa"/>
            <w:vMerge w:val="continue"/>
            <w:tcBorders>
              <w:top w:val="nil"/>
              <w:left w:val="single" w:color="auto" w:sz="4" w:space="0"/>
              <w:bottom w:val="single" w:color="auto" w:sz="4" w:space="0"/>
              <w:right w:val="single" w:color="auto" w:sz="4" w:space="0"/>
            </w:tcBorders>
            <w:shd w:val="clear" w:color="auto" w:fill="auto"/>
            <w:vAlign w:val="center"/>
          </w:tcPr>
          <w:p>
            <w:pPr>
              <w:jc w:val="center"/>
              <w:rPr>
                <w:rFonts w:hint="eastAsia" w:ascii="Times New Roman" w:hAnsi="Times New Roman" w:eastAsia="仿宋_GB2312" w:cs="仿宋_GB2312"/>
                <w:color w:val="333333"/>
                <w:sz w:val="24"/>
                <w:szCs w:val="24"/>
              </w:rPr>
            </w:pPr>
          </w:p>
        </w:tc>
        <w:tc>
          <w:tcPr>
            <w:tcW w:w="930" w:type="dxa"/>
            <w:vMerge w:val="continue"/>
            <w:tcBorders>
              <w:top w:val="nil"/>
              <w:left w:val="single" w:color="auto" w:sz="4" w:space="0"/>
              <w:bottom w:val="single" w:color="auto" w:sz="4" w:space="0"/>
              <w:right w:val="single" w:color="auto" w:sz="4" w:space="0"/>
            </w:tcBorders>
            <w:shd w:val="clear" w:color="auto" w:fill="auto"/>
            <w:vAlign w:val="center"/>
          </w:tcPr>
          <w:p>
            <w:pPr>
              <w:jc w:val="center"/>
              <w:rPr>
                <w:rFonts w:hint="eastAsia" w:ascii="Times New Roman" w:hAnsi="Times New Roman" w:eastAsia="仿宋_GB2312" w:cs="仿宋_GB2312"/>
                <w:color w:val="333333"/>
                <w:sz w:val="24"/>
                <w:szCs w:val="24"/>
              </w:rPr>
            </w:pPr>
          </w:p>
        </w:tc>
        <w:tc>
          <w:tcPr>
            <w:tcW w:w="1275" w:type="dxa"/>
            <w:vMerge w:val="continue"/>
            <w:tcBorders>
              <w:top w:val="nil"/>
              <w:left w:val="single" w:color="auto" w:sz="4" w:space="0"/>
              <w:bottom w:val="single" w:color="auto" w:sz="4" w:space="0"/>
              <w:right w:val="single" w:color="auto" w:sz="4" w:space="0"/>
            </w:tcBorders>
            <w:shd w:val="clear" w:color="auto" w:fill="auto"/>
            <w:vAlign w:val="center"/>
          </w:tcPr>
          <w:p>
            <w:pPr>
              <w:jc w:val="center"/>
              <w:rPr>
                <w:rFonts w:hint="eastAsia" w:ascii="Times New Roman" w:hAnsi="Times New Roman" w:eastAsia="仿宋_GB2312" w:cs="仿宋_GB2312"/>
                <w:color w:val="333333"/>
                <w:sz w:val="24"/>
                <w:szCs w:val="24"/>
              </w:rPr>
            </w:pPr>
          </w:p>
        </w:tc>
        <w:tc>
          <w:tcPr>
            <w:tcW w:w="2070" w:type="dxa"/>
            <w:tcBorders>
              <w:top w:val="nil"/>
              <w:left w:val="nil"/>
              <w:bottom w:val="single" w:color="auto" w:sz="4" w:space="0"/>
              <w:right w:val="single" w:color="auto"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Times New Roman" w:hAnsi="Times New Roman" w:eastAsia="仿宋_GB2312" w:cs="仿宋_GB2312"/>
                <w:b w:val="0"/>
                <w:bCs w:val="0"/>
                <w:i w:val="0"/>
                <w:iCs w:val="0"/>
                <w:sz w:val="24"/>
                <w:szCs w:val="24"/>
              </w:rPr>
            </w:pPr>
            <w:r>
              <w:rPr>
                <w:rFonts w:hint="eastAsia" w:ascii="Times New Roman" w:hAnsi="Times New Roman" w:eastAsia="仿宋_GB2312" w:cs="仿宋_GB2312"/>
                <w:b w:val="0"/>
                <w:bCs w:val="0"/>
                <w:i w:val="0"/>
                <w:iCs w:val="0"/>
                <w:color w:val="333333"/>
                <w:sz w:val="24"/>
                <w:szCs w:val="24"/>
              </w:rPr>
              <w:t>基金损失占该医药机构违法行为发生月至终止月期间医保基金应支付总额的比例在千分之三以上千分之五以下的</w:t>
            </w:r>
          </w:p>
        </w:tc>
        <w:tc>
          <w:tcPr>
            <w:tcW w:w="2460" w:type="dxa"/>
            <w:tcBorders>
              <w:top w:val="nil"/>
              <w:left w:val="nil"/>
              <w:bottom w:val="single" w:color="auto" w:sz="4" w:space="0"/>
              <w:right w:val="single" w:color="auto"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Times New Roman" w:hAnsi="Times New Roman" w:eastAsia="仿宋_GB2312" w:cs="仿宋_GB2312"/>
                <w:b w:val="0"/>
                <w:bCs w:val="0"/>
                <w:i w:val="0"/>
                <w:iCs w:val="0"/>
                <w:sz w:val="24"/>
                <w:szCs w:val="24"/>
              </w:rPr>
            </w:pPr>
            <w:r>
              <w:rPr>
                <w:rFonts w:hint="eastAsia" w:ascii="Times New Roman" w:hAnsi="Times New Roman" w:eastAsia="仿宋_GB2312" w:cs="仿宋_GB2312"/>
                <w:b w:val="0"/>
                <w:bCs w:val="0"/>
                <w:i w:val="0"/>
                <w:iCs w:val="0"/>
                <w:color w:val="333333"/>
                <w:sz w:val="24"/>
                <w:szCs w:val="24"/>
              </w:rPr>
              <w:t>处基金损失1.2倍的罚款；拒不改正或者造成严重后果的，责令定点医药机构暂停相关责任部门8个月涉及医疗保障基金使用的医药服务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06" w:hRule="atLeast"/>
          <w:tblCellSpacing w:w="0" w:type="dxa"/>
        </w:trPr>
        <w:tc>
          <w:tcPr>
            <w:tcW w:w="525" w:type="dxa"/>
            <w:vMerge w:val="continue"/>
            <w:tcBorders>
              <w:top w:val="nil"/>
              <w:left w:val="single" w:color="auto" w:sz="4" w:space="0"/>
              <w:bottom w:val="single" w:color="auto" w:sz="4" w:space="0"/>
              <w:right w:val="single" w:color="auto" w:sz="4" w:space="0"/>
            </w:tcBorders>
            <w:shd w:val="clear" w:color="auto" w:fill="auto"/>
            <w:vAlign w:val="center"/>
          </w:tcPr>
          <w:p>
            <w:pPr>
              <w:jc w:val="center"/>
              <w:rPr>
                <w:rFonts w:hint="eastAsia" w:ascii="Times New Roman" w:hAnsi="Times New Roman" w:eastAsia="仿宋_GB2312" w:cs="仿宋_GB2312"/>
                <w:color w:val="333333"/>
                <w:sz w:val="24"/>
                <w:szCs w:val="24"/>
              </w:rPr>
            </w:pPr>
          </w:p>
        </w:tc>
        <w:tc>
          <w:tcPr>
            <w:tcW w:w="2160" w:type="dxa"/>
            <w:vMerge w:val="continue"/>
            <w:tcBorders>
              <w:top w:val="nil"/>
              <w:left w:val="single" w:color="auto" w:sz="4" w:space="0"/>
              <w:bottom w:val="single" w:color="auto" w:sz="4" w:space="0"/>
              <w:right w:val="single" w:color="auto" w:sz="4" w:space="0"/>
            </w:tcBorders>
            <w:shd w:val="clear" w:color="auto" w:fill="auto"/>
            <w:vAlign w:val="center"/>
          </w:tcPr>
          <w:p>
            <w:pPr>
              <w:jc w:val="center"/>
              <w:rPr>
                <w:rFonts w:hint="eastAsia" w:ascii="Times New Roman" w:hAnsi="Times New Roman" w:eastAsia="仿宋_GB2312" w:cs="仿宋_GB2312"/>
                <w:color w:val="333333"/>
                <w:sz w:val="24"/>
                <w:szCs w:val="24"/>
              </w:rPr>
            </w:pPr>
          </w:p>
        </w:tc>
        <w:tc>
          <w:tcPr>
            <w:tcW w:w="930" w:type="dxa"/>
            <w:vMerge w:val="continue"/>
            <w:tcBorders>
              <w:top w:val="nil"/>
              <w:left w:val="single" w:color="auto" w:sz="4" w:space="0"/>
              <w:bottom w:val="single" w:color="auto" w:sz="4" w:space="0"/>
              <w:right w:val="single" w:color="auto" w:sz="4" w:space="0"/>
            </w:tcBorders>
            <w:shd w:val="clear" w:color="auto" w:fill="auto"/>
            <w:vAlign w:val="center"/>
          </w:tcPr>
          <w:p>
            <w:pPr>
              <w:jc w:val="center"/>
              <w:rPr>
                <w:rFonts w:hint="eastAsia" w:ascii="Times New Roman" w:hAnsi="Times New Roman" w:eastAsia="仿宋_GB2312" w:cs="仿宋_GB2312"/>
                <w:color w:val="333333"/>
                <w:sz w:val="24"/>
                <w:szCs w:val="24"/>
              </w:rPr>
            </w:pPr>
          </w:p>
        </w:tc>
        <w:tc>
          <w:tcPr>
            <w:tcW w:w="1275" w:type="dxa"/>
            <w:vMerge w:val="continue"/>
            <w:tcBorders>
              <w:top w:val="nil"/>
              <w:left w:val="single" w:color="auto" w:sz="4" w:space="0"/>
              <w:bottom w:val="single" w:color="auto" w:sz="4" w:space="0"/>
              <w:right w:val="single" w:color="auto" w:sz="4" w:space="0"/>
            </w:tcBorders>
            <w:shd w:val="clear" w:color="auto" w:fill="auto"/>
            <w:vAlign w:val="center"/>
          </w:tcPr>
          <w:p>
            <w:pPr>
              <w:jc w:val="center"/>
              <w:rPr>
                <w:rFonts w:hint="eastAsia" w:ascii="Times New Roman" w:hAnsi="Times New Roman" w:eastAsia="仿宋_GB2312" w:cs="仿宋_GB2312"/>
                <w:color w:val="333333"/>
                <w:sz w:val="24"/>
                <w:szCs w:val="24"/>
              </w:rPr>
            </w:pPr>
          </w:p>
        </w:tc>
        <w:tc>
          <w:tcPr>
            <w:tcW w:w="2070" w:type="dxa"/>
            <w:tcBorders>
              <w:top w:val="nil"/>
              <w:left w:val="nil"/>
              <w:bottom w:val="single" w:color="auto" w:sz="4" w:space="0"/>
              <w:right w:val="single" w:color="auto"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Times New Roman" w:hAnsi="Times New Roman" w:eastAsia="仿宋_GB2312" w:cs="仿宋_GB2312"/>
                <w:b w:val="0"/>
                <w:bCs w:val="0"/>
                <w:i w:val="0"/>
                <w:iCs w:val="0"/>
                <w:sz w:val="24"/>
                <w:szCs w:val="24"/>
              </w:rPr>
            </w:pPr>
            <w:r>
              <w:rPr>
                <w:rFonts w:hint="eastAsia" w:ascii="Times New Roman" w:hAnsi="Times New Roman" w:eastAsia="仿宋_GB2312" w:cs="仿宋_GB2312"/>
                <w:b w:val="0"/>
                <w:bCs w:val="0"/>
                <w:i w:val="0"/>
                <w:iCs w:val="0"/>
                <w:color w:val="333333"/>
                <w:sz w:val="24"/>
                <w:szCs w:val="24"/>
              </w:rPr>
              <w:t>基金损失占该医药机构违法行为发生月至终止月期间医保基金应支付总额的比例高于千分之五且在千分之十以下的</w:t>
            </w:r>
          </w:p>
        </w:tc>
        <w:tc>
          <w:tcPr>
            <w:tcW w:w="2460" w:type="dxa"/>
            <w:tcBorders>
              <w:top w:val="nil"/>
              <w:left w:val="nil"/>
              <w:bottom w:val="single" w:color="auto" w:sz="4" w:space="0"/>
              <w:right w:val="single" w:color="auto"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Times New Roman" w:hAnsi="Times New Roman" w:eastAsia="仿宋_GB2312" w:cs="仿宋_GB2312"/>
                <w:b w:val="0"/>
                <w:bCs w:val="0"/>
                <w:i w:val="0"/>
                <w:iCs w:val="0"/>
                <w:sz w:val="24"/>
                <w:szCs w:val="24"/>
              </w:rPr>
            </w:pPr>
            <w:r>
              <w:rPr>
                <w:rFonts w:hint="eastAsia" w:ascii="Times New Roman" w:hAnsi="Times New Roman" w:eastAsia="仿宋_GB2312" w:cs="仿宋_GB2312"/>
                <w:b w:val="0"/>
                <w:bCs w:val="0"/>
                <w:i w:val="0"/>
                <w:iCs w:val="0"/>
                <w:color w:val="333333"/>
                <w:sz w:val="24"/>
                <w:szCs w:val="24"/>
              </w:rPr>
              <w:t>处基金损失1.6倍的罚款；拒不改正或者造成严重后果的，责令定点医药机构暂停相关责任部门10个月涉及医疗保障基金使用的医药服务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56" w:hRule="atLeast"/>
          <w:tblCellSpacing w:w="0" w:type="dxa"/>
        </w:trPr>
        <w:tc>
          <w:tcPr>
            <w:tcW w:w="525" w:type="dxa"/>
            <w:vMerge w:val="continue"/>
            <w:tcBorders>
              <w:top w:val="nil"/>
              <w:left w:val="single" w:color="auto" w:sz="4" w:space="0"/>
              <w:bottom w:val="single" w:color="auto" w:sz="4" w:space="0"/>
              <w:right w:val="single" w:color="auto" w:sz="4" w:space="0"/>
            </w:tcBorders>
            <w:shd w:val="clear" w:color="auto" w:fill="auto"/>
            <w:vAlign w:val="center"/>
          </w:tcPr>
          <w:p>
            <w:pPr>
              <w:jc w:val="center"/>
              <w:rPr>
                <w:rFonts w:hint="eastAsia" w:ascii="Times New Roman" w:hAnsi="Times New Roman" w:eastAsia="仿宋_GB2312" w:cs="仿宋_GB2312"/>
                <w:color w:val="333333"/>
                <w:sz w:val="24"/>
                <w:szCs w:val="24"/>
              </w:rPr>
            </w:pPr>
          </w:p>
        </w:tc>
        <w:tc>
          <w:tcPr>
            <w:tcW w:w="2160" w:type="dxa"/>
            <w:vMerge w:val="continue"/>
            <w:tcBorders>
              <w:top w:val="nil"/>
              <w:left w:val="single" w:color="auto" w:sz="4" w:space="0"/>
              <w:bottom w:val="single" w:color="auto" w:sz="4" w:space="0"/>
              <w:right w:val="single" w:color="auto" w:sz="4" w:space="0"/>
            </w:tcBorders>
            <w:shd w:val="clear" w:color="auto" w:fill="auto"/>
            <w:vAlign w:val="center"/>
          </w:tcPr>
          <w:p>
            <w:pPr>
              <w:jc w:val="center"/>
              <w:rPr>
                <w:rFonts w:hint="eastAsia" w:ascii="Times New Roman" w:hAnsi="Times New Roman" w:eastAsia="仿宋_GB2312" w:cs="仿宋_GB2312"/>
                <w:color w:val="333333"/>
                <w:sz w:val="24"/>
                <w:szCs w:val="24"/>
              </w:rPr>
            </w:pPr>
          </w:p>
        </w:tc>
        <w:tc>
          <w:tcPr>
            <w:tcW w:w="930" w:type="dxa"/>
            <w:vMerge w:val="continue"/>
            <w:tcBorders>
              <w:top w:val="nil"/>
              <w:left w:val="single" w:color="auto" w:sz="4" w:space="0"/>
              <w:bottom w:val="single" w:color="auto" w:sz="4" w:space="0"/>
              <w:right w:val="single" w:color="auto" w:sz="4" w:space="0"/>
            </w:tcBorders>
            <w:shd w:val="clear" w:color="auto" w:fill="auto"/>
            <w:vAlign w:val="center"/>
          </w:tcPr>
          <w:p>
            <w:pPr>
              <w:jc w:val="center"/>
              <w:rPr>
                <w:rFonts w:hint="eastAsia" w:ascii="Times New Roman" w:hAnsi="Times New Roman" w:eastAsia="仿宋_GB2312" w:cs="仿宋_GB2312"/>
                <w:color w:val="333333"/>
                <w:sz w:val="24"/>
                <w:szCs w:val="24"/>
              </w:rPr>
            </w:pPr>
          </w:p>
        </w:tc>
        <w:tc>
          <w:tcPr>
            <w:tcW w:w="1275" w:type="dxa"/>
            <w:vMerge w:val="continue"/>
            <w:tcBorders>
              <w:top w:val="nil"/>
              <w:left w:val="single" w:color="auto" w:sz="4" w:space="0"/>
              <w:bottom w:val="single" w:color="auto" w:sz="4" w:space="0"/>
              <w:right w:val="single" w:color="auto" w:sz="4" w:space="0"/>
            </w:tcBorders>
            <w:shd w:val="clear" w:color="auto" w:fill="auto"/>
            <w:vAlign w:val="center"/>
          </w:tcPr>
          <w:p>
            <w:pPr>
              <w:jc w:val="center"/>
              <w:rPr>
                <w:rFonts w:hint="eastAsia" w:ascii="Times New Roman" w:hAnsi="Times New Roman" w:eastAsia="仿宋_GB2312" w:cs="仿宋_GB2312"/>
                <w:color w:val="333333"/>
                <w:sz w:val="24"/>
                <w:szCs w:val="24"/>
              </w:rPr>
            </w:pPr>
          </w:p>
        </w:tc>
        <w:tc>
          <w:tcPr>
            <w:tcW w:w="2070" w:type="dxa"/>
            <w:tcBorders>
              <w:top w:val="nil"/>
              <w:left w:val="nil"/>
              <w:bottom w:val="single" w:color="auto" w:sz="4" w:space="0"/>
              <w:right w:val="single" w:color="auto"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Times New Roman" w:hAnsi="Times New Roman" w:eastAsia="仿宋_GB2312" w:cs="仿宋_GB2312"/>
                <w:b w:val="0"/>
                <w:bCs w:val="0"/>
                <w:i w:val="0"/>
                <w:iCs w:val="0"/>
                <w:sz w:val="24"/>
                <w:szCs w:val="24"/>
              </w:rPr>
            </w:pPr>
            <w:r>
              <w:rPr>
                <w:rFonts w:hint="eastAsia" w:ascii="Times New Roman" w:hAnsi="Times New Roman" w:eastAsia="仿宋_GB2312" w:cs="仿宋_GB2312"/>
                <w:b w:val="0"/>
                <w:bCs w:val="0"/>
                <w:i w:val="0"/>
                <w:iCs w:val="0"/>
                <w:color w:val="333333"/>
                <w:sz w:val="24"/>
                <w:szCs w:val="24"/>
              </w:rPr>
              <w:t>基金损失占该医药机构违法行为发生月至终止月期间医保基金应支付总额的比例高于千分之十的</w:t>
            </w:r>
          </w:p>
        </w:tc>
        <w:tc>
          <w:tcPr>
            <w:tcW w:w="2460" w:type="dxa"/>
            <w:tcBorders>
              <w:top w:val="nil"/>
              <w:left w:val="nil"/>
              <w:bottom w:val="single" w:color="auto" w:sz="4" w:space="0"/>
              <w:right w:val="single" w:color="auto"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Times New Roman" w:hAnsi="Times New Roman" w:eastAsia="仿宋_GB2312" w:cs="仿宋_GB2312"/>
                <w:b w:val="0"/>
                <w:bCs w:val="0"/>
                <w:i w:val="0"/>
                <w:iCs w:val="0"/>
                <w:sz w:val="24"/>
                <w:szCs w:val="24"/>
              </w:rPr>
            </w:pPr>
            <w:r>
              <w:rPr>
                <w:rFonts w:hint="eastAsia" w:ascii="Times New Roman" w:hAnsi="Times New Roman" w:eastAsia="仿宋_GB2312" w:cs="仿宋_GB2312"/>
                <w:b w:val="0"/>
                <w:bCs w:val="0"/>
                <w:i w:val="0"/>
                <w:iCs w:val="0"/>
                <w:color w:val="333333"/>
                <w:sz w:val="24"/>
                <w:szCs w:val="24"/>
              </w:rPr>
              <w:t>处基金损失2倍的罚款；拒不改正或者造成严重后果的，责令定点医药机构暂停相关责任部门12个月涉及医疗保障基金使用的医药服务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80" w:hRule="atLeast"/>
          <w:tblCellSpacing w:w="0" w:type="dxa"/>
        </w:trPr>
        <w:tc>
          <w:tcPr>
            <w:tcW w:w="525" w:type="dxa"/>
            <w:vMerge w:val="restart"/>
            <w:tcBorders>
              <w:top w:val="nil"/>
              <w:left w:val="single" w:color="auto" w:sz="4" w:space="0"/>
              <w:bottom w:val="single" w:color="auto" w:sz="4" w:space="0"/>
              <w:right w:val="single" w:color="auto"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Times New Roman" w:hAnsi="Times New Roman" w:eastAsia="仿宋_GB2312" w:cs="仿宋_GB2312"/>
                <w:b w:val="0"/>
                <w:bCs w:val="0"/>
                <w:i w:val="0"/>
                <w:iCs w:val="0"/>
                <w:sz w:val="24"/>
                <w:szCs w:val="24"/>
              </w:rPr>
            </w:pPr>
            <w:r>
              <w:rPr>
                <w:rFonts w:hint="eastAsia" w:ascii="Times New Roman" w:hAnsi="Times New Roman" w:eastAsia="仿宋_GB2312" w:cs="仿宋_GB2312"/>
                <w:b w:val="0"/>
                <w:bCs w:val="0"/>
                <w:i w:val="0"/>
                <w:iCs w:val="0"/>
                <w:color w:val="333333"/>
                <w:sz w:val="24"/>
                <w:szCs w:val="24"/>
              </w:rPr>
              <w:t>3</w:t>
            </w:r>
          </w:p>
        </w:tc>
        <w:tc>
          <w:tcPr>
            <w:tcW w:w="2160" w:type="dxa"/>
            <w:vMerge w:val="restart"/>
            <w:tcBorders>
              <w:top w:val="nil"/>
              <w:left w:val="single" w:color="auto" w:sz="4" w:space="0"/>
              <w:bottom w:val="single" w:color="auto" w:sz="4" w:space="0"/>
              <w:right w:val="single" w:color="auto"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Times New Roman" w:hAnsi="Times New Roman" w:eastAsia="仿宋_GB2312" w:cs="仿宋_GB2312"/>
                <w:b w:val="0"/>
                <w:bCs w:val="0"/>
                <w:i w:val="0"/>
                <w:iCs w:val="0"/>
                <w:sz w:val="24"/>
                <w:szCs w:val="24"/>
              </w:rPr>
            </w:pPr>
            <w:r>
              <w:rPr>
                <w:rFonts w:hint="eastAsia" w:ascii="Times New Roman" w:hAnsi="Times New Roman" w:eastAsia="仿宋_GB2312" w:cs="仿宋_GB2312"/>
                <w:b w:val="0"/>
                <w:bCs w:val="0"/>
                <w:i w:val="0"/>
                <w:iCs w:val="0"/>
                <w:color w:val="333333"/>
                <w:sz w:val="24"/>
                <w:szCs w:val="24"/>
              </w:rPr>
              <w:t>定点医药机构诱导、协助他人冒名或者虚假就医、购药，提供虚假证明材料，或者串通他人虚开费用单据；伪造、变造、隐匿、涂改、销毁医学文书、医学证明、会计凭证、电子信息等有关资料；虚构医药服务项目；其他骗取医疗保障基金支出的行为的。定点医药机构以骗取医疗保障基金为目的，实施分解住院、挂床住院；违反诊疗规范过度诊疗、过度检查、分解处方、超量开药、重复开药或者提供其他不必要的医药服务；重复收费、超标准收费、分解项目收费；串换药品、医用耗材、诊疗项目和服务设施；为参保人员利用其享受医疗保障待遇的机会转卖药品，接受返还现金、实物或者获得其他非法利益提供便利；将不属于医疗保障基金支付范围的医药费用纳入医疗保障基金结算；造成医疗保障基金损失的其他违法行为的</w:t>
            </w:r>
          </w:p>
        </w:tc>
        <w:tc>
          <w:tcPr>
            <w:tcW w:w="930" w:type="dxa"/>
            <w:vMerge w:val="restart"/>
            <w:tcBorders>
              <w:top w:val="nil"/>
              <w:left w:val="single" w:color="auto" w:sz="4" w:space="0"/>
              <w:bottom w:val="single" w:color="auto" w:sz="4" w:space="0"/>
              <w:right w:val="single" w:color="auto"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Times New Roman" w:hAnsi="Times New Roman" w:eastAsia="仿宋_GB2312" w:cs="仿宋_GB2312"/>
                <w:b w:val="0"/>
                <w:bCs w:val="0"/>
                <w:i w:val="0"/>
                <w:iCs w:val="0"/>
                <w:sz w:val="24"/>
                <w:szCs w:val="24"/>
              </w:rPr>
            </w:pPr>
            <w:r>
              <w:rPr>
                <w:rFonts w:hint="eastAsia" w:ascii="Times New Roman" w:hAnsi="Times New Roman" w:eastAsia="仿宋_GB2312" w:cs="仿宋_GB2312"/>
                <w:b w:val="0"/>
                <w:bCs w:val="0"/>
                <w:i w:val="0"/>
                <w:iCs w:val="0"/>
                <w:color w:val="333333"/>
                <w:sz w:val="24"/>
                <w:szCs w:val="24"/>
              </w:rPr>
              <w:t>《中华人民共和国社会保险法》第八十七条、《医疗保障基金使用监督管理条例》第四十条</w:t>
            </w:r>
          </w:p>
        </w:tc>
        <w:tc>
          <w:tcPr>
            <w:tcW w:w="1275" w:type="dxa"/>
            <w:vMerge w:val="restart"/>
            <w:tcBorders>
              <w:top w:val="nil"/>
              <w:left w:val="single" w:color="auto" w:sz="4" w:space="0"/>
              <w:bottom w:val="single" w:color="auto" w:sz="4" w:space="0"/>
              <w:right w:val="single" w:color="auto"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Times New Roman" w:hAnsi="Times New Roman" w:eastAsia="仿宋_GB2312" w:cs="仿宋_GB2312"/>
                <w:b w:val="0"/>
                <w:bCs w:val="0"/>
                <w:i w:val="0"/>
                <w:iCs w:val="0"/>
                <w:sz w:val="24"/>
                <w:szCs w:val="24"/>
              </w:rPr>
            </w:pPr>
            <w:r>
              <w:rPr>
                <w:rFonts w:hint="eastAsia" w:ascii="Times New Roman" w:hAnsi="Times New Roman" w:eastAsia="仿宋_GB2312" w:cs="仿宋_GB2312"/>
                <w:b w:val="0"/>
                <w:bCs w:val="0"/>
                <w:i w:val="0"/>
                <w:iCs w:val="0"/>
                <w:color w:val="333333"/>
                <w:sz w:val="24"/>
                <w:szCs w:val="24"/>
              </w:rPr>
              <w:t>责令退回，处骗取金额2倍以上5倍以下的罚款；责令定点医药机构暂停相关责任部门6个月以上1年以下涉及医疗保障基金使用的医药服务，直至由医疗保障经办机构解除服务协议</w:t>
            </w:r>
          </w:p>
        </w:tc>
        <w:tc>
          <w:tcPr>
            <w:tcW w:w="2070" w:type="dxa"/>
            <w:tcBorders>
              <w:top w:val="nil"/>
              <w:left w:val="nil"/>
              <w:bottom w:val="single" w:color="auto" w:sz="4" w:space="0"/>
              <w:right w:val="single" w:color="auto"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Times New Roman" w:hAnsi="Times New Roman" w:eastAsia="仿宋_GB2312" w:cs="仿宋_GB2312"/>
                <w:b w:val="0"/>
                <w:bCs w:val="0"/>
                <w:i w:val="0"/>
                <w:iCs w:val="0"/>
                <w:sz w:val="24"/>
                <w:szCs w:val="24"/>
              </w:rPr>
            </w:pPr>
            <w:r>
              <w:rPr>
                <w:rFonts w:hint="eastAsia" w:ascii="Times New Roman" w:hAnsi="Times New Roman" w:eastAsia="仿宋_GB2312" w:cs="仿宋_GB2312"/>
                <w:b w:val="0"/>
                <w:bCs w:val="0"/>
                <w:i w:val="0"/>
                <w:iCs w:val="0"/>
                <w:color w:val="333333"/>
                <w:sz w:val="24"/>
                <w:szCs w:val="24"/>
              </w:rPr>
              <w:t>骗取医疗保障基金支出低于6000元的</w:t>
            </w:r>
          </w:p>
        </w:tc>
        <w:tc>
          <w:tcPr>
            <w:tcW w:w="2460" w:type="dxa"/>
            <w:tcBorders>
              <w:top w:val="nil"/>
              <w:left w:val="nil"/>
              <w:bottom w:val="single" w:color="auto" w:sz="4" w:space="0"/>
              <w:right w:val="single" w:color="auto"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Times New Roman" w:hAnsi="Times New Roman" w:eastAsia="仿宋_GB2312" w:cs="仿宋_GB2312"/>
                <w:b w:val="0"/>
                <w:bCs w:val="0"/>
                <w:i w:val="0"/>
                <w:iCs w:val="0"/>
                <w:sz w:val="24"/>
                <w:szCs w:val="24"/>
              </w:rPr>
            </w:pPr>
            <w:r>
              <w:rPr>
                <w:rFonts w:hint="eastAsia" w:ascii="Times New Roman" w:hAnsi="Times New Roman" w:eastAsia="仿宋_GB2312" w:cs="仿宋_GB2312"/>
                <w:b w:val="0"/>
                <w:bCs w:val="0"/>
                <w:i w:val="0"/>
                <w:iCs w:val="0"/>
                <w:color w:val="333333"/>
                <w:sz w:val="24"/>
                <w:szCs w:val="24"/>
              </w:rPr>
              <w:t>处骗取金额2倍的罚款；责令定点医药机构暂停相关责任部门6个月涉及医疗保障基金使用的医药服务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66" w:hRule="atLeast"/>
          <w:tblCellSpacing w:w="0" w:type="dxa"/>
        </w:trPr>
        <w:tc>
          <w:tcPr>
            <w:tcW w:w="525" w:type="dxa"/>
            <w:vMerge w:val="continue"/>
            <w:tcBorders>
              <w:top w:val="nil"/>
              <w:left w:val="single" w:color="auto" w:sz="4" w:space="0"/>
              <w:bottom w:val="single" w:color="auto" w:sz="4" w:space="0"/>
              <w:right w:val="single" w:color="auto" w:sz="4" w:space="0"/>
            </w:tcBorders>
            <w:shd w:val="clear" w:color="auto" w:fill="auto"/>
            <w:vAlign w:val="center"/>
          </w:tcPr>
          <w:p>
            <w:pPr>
              <w:jc w:val="center"/>
              <w:rPr>
                <w:rFonts w:hint="eastAsia" w:ascii="Times New Roman" w:hAnsi="Times New Roman" w:eastAsia="仿宋_GB2312" w:cs="仿宋_GB2312"/>
                <w:color w:val="333333"/>
                <w:sz w:val="24"/>
                <w:szCs w:val="24"/>
              </w:rPr>
            </w:pPr>
          </w:p>
        </w:tc>
        <w:tc>
          <w:tcPr>
            <w:tcW w:w="2160" w:type="dxa"/>
            <w:vMerge w:val="continue"/>
            <w:tcBorders>
              <w:top w:val="nil"/>
              <w:left w:val="single" w:color="auto" w:sz="4" w:space="0"/>
              <w:bottom w:val="single" w:color="auto" w:sz="4" w:space="0"/>
              <w:right w:val="single" w:color="auto" w:sz="4" w:space="0"/>
            </w:tcBorders>
            <w:shd w:val="clear" w:color="auto" w:fill="auto"/>
            <w:vAlign w:val="center"/>
          </w:tcPr>
          <w:p>
            <w:pPr>
              <w:jc w:val="center"/>
              <w:rPr>
                <w:rFonts w:hint="eastAsia" w:ascii="Times New Roman" w:hAnsi="Times New Roman" w:eastAsia="仿宋_GB2312" w:cs="仿宋_GB2312"/>
                <w:color w:val="333333"/>
                <w:sz w:val="24"/>
                <w:szCs w:val="24"/>
              </w:rPr>
            </w:pPr>
          </w:p>
        </w:tc>
        <w:tc>
          <w:tcPr>
            <w:tcW w:w="930" w:type="dxa"/>
            <w:vMerge w:val="continue"/>
            <w:tcBorders>
              <w:top w:val="nil"/>
              <w:left w:val="single" w:color="auto" w:sz="4" w:space="0"/>
              <w:bottom w:val="single" w:color="auto" w:sz="4" w:space="0"/>
              <w:right w:val="single" w:color="auto" w:sz="4" w:space="0"/>
            </w:tcBorders>
            <w:shd w:val="clear" w:color="auto" w:fill="auto"/>
            <w:vAlign w:val="center"/>
          </w:tcPr>
          <w:p>
            <w:pPr>
              <w:jc w:val="center"/>
              <w:rPr>
                <w:rFonts w:hint="eastAsia" w:ascii="Times New Roman" w:hAnsi="Times New Roman" w:eastAsia="仿宋_GB2312" w:cs="仿宋_GB2312"/>
                <w:color w:val="333333"/>
                <w:sz w:val="24"/>
                <w:szCs w:val="24"/>
              </w:rPr>
            </w:pPr>
          </w:p>
        </w:tc>
        <w:tc>
          <w:tcPr>
            <w:tcW w:w="1275" w:type="dxa"/>
            <w:vMerge w:val="continue"/>
            <w:tcBorders>
              <w:top w:val="nil"/>
              <w:left w:val="single" w:color="auto" w:sz="4" w:space="0"/>
              <w:bottom w:val="single" w:color="auto" w:sz="4" w:space="0"/>
              <w:right w:val="single" w:color="auto" w:sz="4" w:space="0"/>
            </w:tcBorders>
            <w:shd w:val="clear" w:color="auto" w:fill="auto"/>
            <w:vAlign w:val="center"/>
          </w:tcPr>
          <w:p>
            <w:pPr>
              <w:jc w:val="center"/>
              <w:rPr>
                <w:rFonts w:hint="eastAsia" w:ascii="Times New Roman" w:hAnsi="Times New Roman" w:eastAsia="仿宋_GB2312" w:cs="仿宋_GB2312"/>
                <w:color w:val="333333"/>
                <w:sz w:val="24"/>
                <w:szCs w:val="24"/>
              </w:rPr>
            </w:pPr>
          </w:p>
        </w:tc>
        <w:tc>
          <w:tcPr>
            <w:tcW w:w="2070" w:type="dxa"/>
            <w:tcBorders>
              <w:top w:val="nil"/>
              <w:left w:val="nil"/>
              <w:bottom w:val="single" w:color="auto" w:sz="4" w:space="0"/>
              <w:right w:val="single" w:color="auto"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Times New Roman" w:hAnsi="Times New Roman" w:eastAsia="仿宋_GB2312" w:cs="仿宋_GB2312"/>
                <w:b w:val="0"/>
                <w:bCs w:val="0"/>
                <w:i w:val="0"/>
                <w:iCs w:val="0"/>
                <w:sz w:val="24"/>
                <w:szCs w:val="24"/>
              </w:rPr>
            </w:pPr>
            <w:r>
              <w:rPr>
                <w:rFonts w:hint="eastAsia" w:ascii="Times New Roman" w:hAnsi="Times New Roman" w:eastAsia="仿宋_GB2312" w:cs="仿宋_GB2312"/>
                <w:b w:val="0"/>
                <w:bCs w:val="0"/>
                <w:i w:val="0"/>
                <w:iCs w:val="0"/>
                <w:color w:val="333333"/>
                <w:sz w:val="24"/>
                <w:szCs w:val="24"/>
              </w:rPr>
              <w:t>骗取医疗保障基金支出6000元以上10万元以下的</w:t>
            </w:r>
          </w:p>
        </w:tc>
        <w:tc>
          <w:tcPr>
            <w:tcW w:w="2460" w:type="dxa"/>
            <w:tcBorders>
              <w:top w:val="nil"/>
              <w:left w:val="nil"/>
              <w:bottom w:val="single" w:color="auto" w:sz="4" w:space="0"/>
              <w:right w:val="single" w:color="auto"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Times New Roman" w:hAnsi="Times New Roman" w:eastAsia="仿宋_GB2312" w:cs="仿宋_GB2312"/>
                <w:b w:val="0"/>
                <w:bCs w:val="0"/>
                <w:i w:val="0"/>
                <w:iCs w:val="0"/>
                <w:sz w:val="24"/>
                <w:szCs w:val="24"/>
              </w:rPr>
            </w:pPr>
            <w:r>
              <w:rPr>
                <w:rFonts w:hint="eastAsia" w:ascii="Times New Roman" w:hAnsi="Times New Roman" w:eastAsia="仿宋_GB2312" w:cs="仿宋_GB2312"/>
                <w:b w:val="0"/>
                <w:bCs w:val="0"/>
                <w:i w:val="0"/>
                <w:iCs w:val="0"/>
                <w:color w:val="333333"/>
                <w:sz w:val="24"/>
                <w:szCs w:val="24"/>
              </w:rPr>
              <w:t>处骗取金额3倍的罚款；责令定点医药机构暂停相关责任部门9个月涉及医疗保障基金使用的医药服务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71" w:hRule="atLeast"/>
          <w:tblCellSpacing w:w="0" w:type="dxa"/>
        </w:trPr>
        <w:tc>
          <w:tcPr>
            <w:tcW w:w="525" w:type="dxa"/>
            <w:vMerge w:val="continue"/>
            <w:tcBorders>
              <w:top w:val="nil"/>
              <w:left w:val="single" w:color="auto" w:sz="4" w:space="0"/>
              <w:bottom w:val="single" w:color="auto" w:sz="4" w:space="0"/>
              <w:right w:val="single" w:color="auto" w:sz="4" w:space="0"/>
            </w:tcBorders>
            <w:shd w:val="clear" w:color="auto" w:fill="auto"/>
            <w:vAlign w:val="center"/>
          </w:tcPr>
          <w:p>
            <w:pPr>
              <w:jc w:val="center"/>
              <w:rPr>
                <w:rFonts w:hint="eastAsia" w:ascii="Times New Roman" w:hAnsi="Times New Roman" w:eastAsia="仿宋_GB2312" w:cs="仿宋_GB2312"/>
                <w:color w:val="333333"/>
                <w:sz w:val="24"/>
                <w:szCs w:val="24"/>
              </w:rPr>
            </w:pPr>
          </w:p>
        </w:tc>
        <w:tc>
          <w:tcPr>
            <w:tcW w:w="2160" w:type="dxa"/>
            <w:vMerge w:val="continue"/>
            <w:tcBorders>
              <w:top w:val="nil"/>
              <w:left w:val="single" w:color="auto" w:sz="4" w:space="0"/>
              <w:bottom w:val="single" w:color="auto" w:sz="4" w:space="0"/>
              <w:right w:val="single" w:color="auto" w:sz="4" w:space="0"/>
            </w:tcBorders>
            <w:shd w:val="clear" w:color="auto" w:fill="auto"/>
            <w:vAlign w:val="center"/>
          </w:tcPr>
          <w:p>
            <w:pPr>
              <w:jc w:val="center"/>
              <w:rPr>
                <w:rFonts w:hint="eastAsia" w:ascii="Times New Roman" w:hAnsi="Times New Roman" w:eastAsia="仿宋_GB2312" w:cs="仿宋_GB2312"/>
                <w:color w:val="333333"/>
                <w:sz w:val="24"/>
                <w:szCs w:val="24"/>
              </w:rPr>
            </w:pPr>
          </w:p>
        </w:tc>
        <w:tc>
          <w:tcPr>
            <w:tcW w:w="930" w:type="dxa"/>
            <w:vMerge w:val="continue"/>
            <w:tcBorders>
              <w:top w:val="nil"/>
              <w:left w:val="single" w:color="auto" w:sz="4" w:space="0"/>
              <w:bottom w:val="single" w:color="auto" w:sz="4" w:space="0"/>
              <w:right w:val="single" w:color="auto" w:sz="4" w:space="0"/>
            </w:tcBorders>
            <w:shd w:val="clear" w:color="auto" w:fill="auto"/>
            <w:vAlign w:val="center"/>
          </w:tcPr>
          <w:p>
            <w:pPr>
              <w:jc w:val="center"/>
              <w:rPr>
                <w:rFonts w:hint="eastAsia" w:ascii="Times New Roman" w:hAnsi="Times New Roman" w:eastAsia="仿宋_GB2312" w:cs="仿宋_GB2312"/>
                <w:color w:val="333333"/>
                <w:sz w:val="24"/>
                <w:szCs w:val="24"/>
              </w:rPr>
            </w:pPr>
          </w:p>
        </w:tc>
        <w:tc>
          <w:tcPr>
            <w:tcW w:w="1275" w:type="dxa"/>
            <w:vMerge w:val="continue"/>
            <w:tcBorders>
              <w:top w:val="nil"/>
              <w:left w:val="single" w:color="auto" w:sz="4" w:space="0"/>
              <w:bottom w:val="single" w:color="auto" w:sz="4" w:space="0"/>
              <w:right w:val="single" w:color="auto" w:sz="4" w:space="0"/>
            </w:tcBorders>
            <w:shd w:val="clear" w:color="auto" w:fill="auto"/>
            <w:vAlign w:val="center"/>
          </w:tcPr>
          <w:p>
            <w:pPr>
              <w:jc w:val="center"/>
              <w:rPr>
                <w:rFonts w:hint="eastAsia" w:ascii="Times New Roman" w:hAnsi="Times New Roman" w:eastAsia="仿宋_GB2312" w:cs="仿宋_GB2312"/>
                <w:color w:val="333333"/>
                <w:sz w:val="24"/>
                <w:szCs w:val="24"/>
              </w:rPr>
            </w:pPr>
          </w:p>
        </w:tc>
        <w:tc>
          <w:tcPr>
            <w:tcW w:w="2070" w:type="dxa"/>
            <w:tcBorders>
              <w:top w:val="nil"/>
              <w:left w:val="nil"/>
              <w:bottom w:val="single" w:color="auto" w:sz="4" w:space="0"/>
              <w:right w:val="single" w:color="auto"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Times New Roman" w:hAnsi="Times New Roman" w:eastAsia="仿宋_GB2312" w:cs="仿宋_GB2312"/>
                <w:b w:val="0"/>
                <w:bCs w:val="0"/>
                <w:i w:val="0"/>
                <w:iCs w:val="0"/>
                <w:sz w:val="24"/>
                <w:szCs w:val="24"/>
              </w:rPr>
            </w:pPr>
            <w:r>
              <w:rPr>
                <w:rFonts w:hint="eastAsia" w:ascii="Times New Roman" w:hAnsi="Times New Roman" w:eastAsia="仿宋_GB2312" w:cs="仿宋_GB2312"/>
                <w:b w:val="0"/>
                <w:bCs w:val="0"/>
                <w:i w:val="0"/>
                <w:iCs w:val="0"/>
                <w:color w:val="333333"/>
                <w:sz w:val="24"/>
                <w:szCs w:val="24"/>
              </w:rPr>
              <w:t>骗取医疗保障基金支出高于10万元且在50万元以下的</w:t>
            </w:r>
          </w:p>
        </w:tc>
        <w:tc>
          <w:tcPr>
            <w:tcW w:w="2460" w:type="dxa"/>
            <w:tcBorders>
              <w:top w:val="nil"/>
              <w:left w:val="nil"/>
              <w:bottom w:val="single" w:color="auto" w:sz="4" w:space="0"/>
              <w:right w:val="single" w:color="auto"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Times New Roman" w:hAnsi="Times New Roman" w:eastAsia="仿宋_GB2312" w:cs="仿宋_GB2312"/>
                <w:b w:val="0"/>
                <w:bCs w:val="0"/>
                <w:i w:val="0"/>
                <w:iCs w:val="0"/>
                <w:sz w:val="24"/>
                <w:szCs w:val="24"/>
              </w:rPr>
            </w:pPr>
            <w:r>
              <w:rPr>
                <w:rFonts w:hint="eastAsia" w:ascii="Times New Roman" w:hAnsi="Times New Roman" w:eastAsia="仿宋_GB2312" w:cs="仿宋_GB2312"/>
                <w:b w:val="0"/>
                <w:bCs w:val="0"/>
                <w:i w:val="0"/>
                <w:iCs w:val="0"/>
                <w:color w:val="333333"/>
                <w:sz w:val="24"/>
                <w:szCs w:val="24"/>
              </w:rPr>
              <w:t>处骗取金额4倍的罚款;责令定点医药机构暂停相关责任部门12个月涉及医疗保障基金使用的医药服务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981" w:hRule="atLeast"/>
          <w:tblCellSpacing w:w="0" w:type="dxa"/>
        </w:trPr>
        <w:tc>
          <w:tcPr>
            <w:tcW w:w="525" w:type="dxa"/>
            <w:vMerge w:val="continue"/>
            <w:tcBorders>
              <w:top w:val="nil"/>
              <w:left w:val="single" w:color="auto" w:sz="4" w:space="0"/>
              <w:bottom w:val="single" w:color="auto" w:sz="4" w:space="0"/>
              <w:right w:val="single" w:color="auto" w:sz="4" w:space="0"/>
            </w:tcBorders>
            <w:shd w:val="clear" w:color="auto" w:fill="auto"/>
            <w:vAlign w:val="center"/>
          </w:tcPr>
          <w:p>
            <w:pPr>
              <w:jc w:val="center"/>
              <w:rPr>
                <w:rFonts w:hint="eastAsia" w:ascii="Times New Roman" w:hAnsi="Times New Roman" w:eastAsia="仿宋_GB2312" w:cs="仿宋_GB2312"/>
                <w:color w:val="333333"/>
                <w:sz w:val="24"/>
                <w:szCs w:val="24"/>
              </w:rPr>
            </w:pPr>
          </w:p>
        </w:tc>
        <w:tc>
          <w:tcPr>
            <w:tcW w:w="2160" w:type="dxa"/>
            <w:vMerge w:val="continue"/>
            <w:tcBorders>
              <w:top w:val="nil"/>
              <w:left w:val="single" w:color="auto" w:sz="4" w:space="0"/>
              <w:bottom w:val="single" w:color="auto" w:sz="4" w:space="0"/>
              <w:right w:val="single" w:color="auto" w:sz="4" w:space="0"/>
            </w:tcBorders>
            <w:shd w:val="clear" w:color="auto" w:fill="auto"/>
            <w:vAlign w:val="center"/>
          </w:tcPr>
          <w:p>
            <w:pPr>
              <w:jc w:val="center"/>
              <w:rPr>
                <w:rFonts w:hint="eastAsia" w:ascii="Times New Roman" w:hAnsi="Times New Roman" w:eastAsia="仿宋_GB2312" w:cs="仿宋_GB2312"/>
                <w:color w:val="333333"/>
                <w:sz w:val="24"/>
                <w:szCs w:val="24"/>
              </w:rPr>
            </w:pPr>
          </w:p>
        </w:tc>
        <w:tc>
          <w:tcPr>
            <w:tcW w:w="930" w:type="dxa"/>
            <w:vMerge w:val="continue"/>
            <w:tcBorders>
              <w:top w:val="nil"/>
              <w:left w:val="single" w:color="auto" w:sz="4" w:space="0"/>
              <w:bottom w:val="single" w:color="auto" w:sz="4" w:space="0"/>
              <w:right w:val="single" w:color="auto" w:sz="4" w:space="0"/>
            </w:tcBorders>
            <w:shd w:val="clear" w:color="auto" w:fill="auto"/>
            <w:vAlign w:val="center"/>
          </w:tcPr>
          <w:p>
            <w:pPr>
              <w:jc w:val="center"/>
              <w:rPr>
                <w:rFonts w:hint="eastAsia" w:ascii="Times New Roman" w:hAnsi="Times New Roman" w:eastAsia="仿宋_GB2312" w:cs="仿宋_GB2312"/>
                <w:color w:val="333333"/>
                <w:sz w:val="24"/>
                <w:szCs w:val="24"/>
              </w:rPr>
            </w:pPr>
          </w:p>
        </w:tc>
        <w:tc>
          <w:tcPr>
            <w:tcW w:w="1275" w:type="dxa"/>
            <w:vMerge w:val="continue"/>
            <w:tcBorders>
              <w:top w:val="nil"/>
              <w:left w:val="single" w:color="auto" w:sz="4" w:space="0"/>
              <w:bottom w:val="single" w:color="auto" w:sz="4" w:space="0"/>
              <w:right w:val="single" w:color="auto" w:sz="4" w:space="0"/>
            </w:tcBorders>
            <w:shd w:val="clear" w:color="auto" w:fill="auto"/>
            <w:vAlign w:val="center"/>
          </w:tcPr>
          <w:p>
            <w:pPr>
              <w:jc w:val="center"/>
              <w:rPr>
                <w:rFonts w:hint="eastAsia" w:ascii="Times New Roman" w:hAnsi="Times New Roman" w:eastAsia="仿宋_GB2312" w:cs="仿宋_GB2312"/>
                <w:color w:val="333333"/>
                <w:sz w:val="24"/>
                <w:szCs w:val="24"/>
              </w:rPr>
            </w:pPr>
          </w:p>
        </w:tc>
        <w:tc>
          <w:tcPr>
            <w:tcW w:w="2070" w:type="dxa"/>
            <w:tcBorders>
              <w:top w:val="nil"/>
              <w:left w:val="nil"/>
              <w:bottom w:val="single" w:color="auto" w:sz="4" w:space="0"/>
              <w:right w:val="single" w:color="auto"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Times New Roman" w:hAnsi="Times New Roman" w:eastAsia="仿宋_GB2312" w:cs="仿宋_GB2312"/>
                <w:b w:val="0"/>
                <w:bCs w:val="0"/>
                <w:i w:val="0"/>
                <w:iCs w:val="0"/>
                <w:sz w:val="24"/>
                <w:szCs w:val="24"/>
              </w:rPr>
            </w:pPr>
            <w:r>
              <w:rPr>
                <w:rFonts w:hint="eastAsia" w:ascii="Times New Roman" w:hAnsi="Times New Roman" w:eastAsia="仿宋_GB2312" w:cs="仿宋_GB2312"/>
                <w:b w:val="0"/>
                <w:bCs w:val="0"/>
                <w:i w:val="0"/>
                <w:iCs w:val="0"/>
                <w:color w:val="333333"/>
                <w:sz w:val="24"/>
                <w:szCs w:val="24"/>
              </w:rPr>
              <w:t>骗取医疗保障基金支出高于50万元的</w:t>
            </w:r>
          </w:p>
        </w:tc>
        <w:tc>
          <w:tcPr>
            <w:tcW w:w="2460" w:type="dxa"/>
            <w:tcBorders>
              <w:top w:val="nil"/>
              <w:left w:val="nil"/>
              <w:bottom w:val="single" w:color="auto" w:sz="4" w:space="0"/>
              <w:right w:val="single" w:color="auto"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Times New Roman" w:hAnsi="Times New Roman" w:eastAsia="仿宋_GB2312" w:cs="仿宋_GB2312"/>
                <w:b w:val="0"/>
                <w:bCs w:val="0"/>
                <w:i w:val="0"/>
                <w:iCs w:val="0"/>
                <w:sz w:val="24"/>
                <w:szCs w:val="24"/>
              </w:rPr>
            </w:pPr>
            <w:r>
              <w:rPr>
                <w:rFonts w:hint="eastAsia" w:ascii="Times New Roman" w:hAnsi="Times New Roman" w:eastAsia="仿宋_GB2312" w:cs="仿宋_GB2312"/>
                <w:b w:val="0"/>
                <w:bCs w:val="0"/>
                <w:i w:val="0"/>
                <w:iCs w:val="0"/>
                <w:color w:val="333333"/>
                <w:sz w:val="24"/>
                <w:szCs w:val="24"/>
              </w:rPr>
              <w:t>处骗取金额5倍的罚款;由经办机构解除医保服务协议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010" w:hRule="atLeast"/>
          <w:tblCellSpacing w:w="0" w:type="dxa"/>
        </w:trPr>
        <w:tc>
          <w:tcPr>
            <w:tcW w:w="525" w:type="dxa"/>
            <w:vMerge w:val="restart"/>
            <w:tcBorders>
              <w:top w:val="nil"/>
              <w:left w:val="single" w:color="auto" w:sz="4" w:space="0"/>
              <w:bottom w:val="single" w:color="auto" w:sz="4" w:space="0"/>
              <w:right w:val="single" w:color="auto"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Times New Roman" w:hAnsi="Times New Roman" w:eastAsia="仿宋_GB2312" w:cs="仿宋_GB2312"/>
                <w:b w:val="0"/>
                <w:bCs w:val="0"/>
                <w:i w:val="0"/>
                <w:iCs w:val="0"/>
                <w:sz w:val="24"/>
                <w:szCs w:val="24"/>
              </w:rPr>
            </w:pPr>
            <w:r>
              <w:rPr>
                <w:rFonts w:hint="eastAsia" w:ascii="Times New Roman" w:hAnsi="Times New Roman" w:eastAsia="仿宋_GB2312" w:cs="仿宋_GB2312"/>
                <w:b w:val="0"/>
                <w:bCs w:val="0"/>
                <w:i w:val="0"/>
                <w:iCs w:val="0"/>
                <w:color w:val="333333"/>
                <w:sz w:val="24"/>
                <w:szCs w:val="24"/>
              </w:rPr>
              <w:t>4</w:t>
            </w:r>
          </w:p>
        </w:tc>
        <w:tc>
          <w:tcPr>
            <w:tcW w:w="2160" w:type="dxa"/>
            <w:vMerge w:val="restart"/>
            <w:tcBorders>
              <w:top w:val="nil"/>
              <w:left w:val="single" w:color="auto" w:sz="4" w:space="0"/>
              <w:bottom w:val="single" w:color="auto" w:sz="4" w:space="0"/>
              <w:right w:val="single" w:color="auto"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Times New Roman" w:hAnsi="Times New Roman" w:eastAsia="仿宋_GB2312" w:cs="仿宋_GB2312"/>
                <w:b w:val="0"/>
                <w:bCs w:val="0"/>
                <w:i w:val="0"/>
                <w:iCs w:val="0"/>
                <w:sz w:val="24"/>
                <w:szCs w:val="24"/>
              </w:rPr>
            </w:pPr>
            <w:r>
              <w:rPr>
                <w:rFonts w:hint="eastAsia" w:ascii="Times New Roman" w:hAnsi="Times New Roman" w:eastAsia="仿宋_GB2312" w:cs="仿宋_GB2312"/>
                <w:b w:val="0"/>
                <w:bCs w:val="0"/>
                <w:i w:val="0"/>
                <w:iCs w:val="0"/>
                <w:color w:val="333333"/>
                <w:sz w:val="24"/>
                <w:szCs w:val="24"/>
              </w:rPr>
              <w:t>定点医药机构未建立医疗保障基金使用内部管理制度，或者没有专门机构或者人员负责医疗保障基金使用管理工作；未按照规定保管财务账目、会计凭证、处方、病历、治疗检查记录、费用明细、药品和医用耗材出入库记录等资料；未按照规定通过医疗保障信息系统传送医疗保障基金使用有关数据；未按照规定向医疗保障行政部门报告医疗保障基金使用监督管理所需信息；未按照规定向社会公开医药费用、费用结构等信息；除急诊、抢救等特殊情形外，未经参保人员或者其近亲属、监护人同意提供医疗保障基金支付范围以外的医药服务；拒绝医疗保障等行政部门监督检查或者提供虚假情况的</w:t>
            </w:r>
          </w:p>
        </w:tc>
        <w:tc>
          <w:tcPr>
            <w:tcW w:w="930" w:type="dxa"/>
            <w:vMerge w:val="restart"/>
            <w:tcBorders>
              <w:top w:val="nil"/>
              <w:left w:val="single" w:color="auto" w:sz="4" w:space="0"/>
              <w:bottom w:val="single" w:color="auto" w:sz="4" w:space="0"/>
              <w:right w:val="single" w:color="auto"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Times New Roman" w:hAnsi="Times New Roman" w:eastAsia="仿宋_GB2312" w:cs="仿宋_GB2312"/>
                <w:b w:val="0"/>
                <w:bCs w:val="0"/>
                <w:i w:val="0"/>
                <w:iCs w:val="0"/>
                <w:sz w:val="24"/>
                <w:szCs w:val="24"/>
              </w:rPr>
            </w:pPr>
            <w:r>
              <w:rPr>
                <w:rFonts w:hint="eastAsia" w:ascii="Times New Roman" w:hAnsi="Times New Roman" w:eastAsia="仿宋_GB2312" w:cs="仿宋_GB2312"/>
                <w:b w:val="0"/>
                <w:bCs w:val="0"/>
                <w:i w:val="0"/>
                <w:iCs w:val="0"/>
                <w:color w:val="333333"/>
                <w:sz w:val="24"/>
                <w:szCs w:val="24"/>
              </w:rPr>
              <w:t>《医疗保障基金使用监督管理条例》第三十九条</w:t>
            </w:r>
          </w:p>
        </w:tc>
        <w:tc>
          <w:tcPr>
            <w:tcW w:w="1275" w:type="dxa"/>
            <w:vMerge w:val="restart"/>
            <w:tcBorders>
              <w:top w:val="nil"/>
              <w:left w:val="single" w:color="auto" w:sz="4" w:space="0"/>
              <w:bottom w:val="single" w:color="auto" w:sz="4" w:space="0"/>
              <w:right w:val="single" w:color="auto"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Times New Roman" w:hAnsi="Times New Roman" w:eastAsia="仿宋_GB2312" w:cs="仿宋_GB2312"/>
                <w:b w:val="0"/>
                <w:bCs w:val="0"/>
                <w:i w:val="0"/>
                <w:iCs w:val="0"/>
                <w:sz w:val="24"/>
                <w:szCs w:val="24"/>
              </w:rPr>
            </w:pPr>
            <w:r>
              <w:rPr>
                <w:rFonts w:hint="eastAsia" w:ascii="Times New Roman" w:hAnsi="Times New Roman" w:eastAsia="仿宋_GB2312" w:cs="仿宋_GB2312"/>
                <w:b w:val="0"/>
                <w:bCs w:val="0"/>
                <w:i w:val="0"/>
                <w:iCs w:val="0"/>
                <w:color w:val="333333"/>
                <w:sz w:val="24"/>
                <w:szCs w:val="24"/>
              </w:rPr>
              <w:t>责令改正，并可以约谈有关负责人；拒不改正的，处1万元以上5万元以下的罚款；违反其他法律、行政法规的，由有关主管部门依法处理</w:t>
            </w:r>
          </w:p>
        </w:tc>
        <w:tc>
          <w:tcPr>
            <w:tcW w:w="2070" w:type="dxa"/>
            <w:tcBorders>
              <w:top w:val="nil"/>
              <w:left w:val="nil"/>
              <w:bottom w:val="single" w:color="auto" w:sz="4" w:space="0"/>
              <w:right w:val="single" w:color="auto"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Times New Roman" w:hAnsi="Times New Roman" w:eastAsia="仿宋_GB2312" w:cs="仿宋_GB2312"/>
                <w:b w:val="0"/>
                <w:bCs w:val="0"/>
                <w:i w:val="0"/>
                <w:iCs w:val="0"/>
                <w:sz w:val="24"/>
                <w:szCs w:val="24"/>
              </w:rPr>
            </w:pPr>
            <w:r>
              <w:rPr>
                <w:rFonts w:hint="eastAsia" w:ascii="Times New Roman" w:hAnsi="Times New Roman" w:eastAsia="仿宋_GB2312" w:cs="仿宋_GB2312"/>
                <w:b w:val="0"/>
                <w:bCs w:val="0"/>
                <w:i w:val="0"/>
                <w:iCs w:val="0"/>
                <w:color w:val="333333"/>
                <w:sz w:val="24"/>
                <w:szCs w:val="24"/>
              </w:rPr>
              <w:t>具有一种前述情形，责令改正拒不改正的</w:t>
            </w:r>
          </w:p>
        </w:tc>
        <w:tc>
          <w:tcPr>
            <w:tcW w:w="2460" w:type="dxa"/>
            <w:tcBorders>
              <w:top w:val="nil"/>
              <w:left w:val="nil"/>
              <w:bottom w:val="single" w:color="auto" w:sz="4" w:space="0"/>
              <w:right w:val="single" w:color="auto"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Times New Roman" w:hAnsi="Times New Roman" w:eastAsia="仿宋_GB2312" w:cs="仿宋_GB2312"/>
                <w:b w:val="0"/>
                <w:bCs w:val="0"/>
                <w:i w:val="0"/>
                <w:iCs w:val="0"/>
                <w:sz w:val="24"/>
                <w:szCs w:val="24"/>
              </w:rPr>
            </w:pPr>
            <w:r>
              <w:rPr>
                <w:rFonts w:hint="eastAsia" w:ascii="Times New Roman" w:hAnsi="Times New Roman" w:eastAsia="仿宋_GB2312" w:cs="仿宋_GB2312"/>
                <w:b w:val="0"/>
                <w:bCs w:val="0"/>
                <w:i w:val="0"/>
                <w:iCs w:val="0"/>
                <w:color w:val="333333"/>
                <w:sz w:val="24"/>
                <w:szCs w:val="24"/>
              </w:rPr>
              <w:t>处1万元罚款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846" w:hRule="atLeast"/>
          <w:tblCellSpacing w:w="0" w:type="dxa"/>
        </w:trPr>
        <w:tc>
          <w:tcPr>
            <w:tcW w:w="525" w:type="dxa"/>
            <w:vMerge w:val="continue"/>
            <w:tcBorders>
              <w:top w:val="nil"/>
              <w:left w:val="single" w:color="auto" w:sz="4" w:space="0"/>
              <w:bottom w:val="single" w:color="auto" w:sz="4" w:space="0"/>
              <w:right w:val="single" w:color="auto" w:sz="4" w:space="0"/>
            </w:tcBorders>
            <w:shd w:val="clear" w:color="auto" w:fill="auto"/>
            <w:vAlign w:val="center"/>
          </w:tcPr>
          <w:p>
            <w:pPr>
              <w:jc w:val="center"/>
              <w:rPr>
                <w:rFonts w:hint="eastAsia" w:ascii="Times New Roman" w:hAnsi="Times New Roman" w:eastAsia="仿宋_GB2312" w:cs="仿宋_GB2312"/>
                <w:color w:val="333333"/>
                <w:sz w:val="24"/>
                <w:szCs w:val="24"/>
              </w:rPr>
            </w:pPr>
          </w:p>
        </w:tc>
        <w:tc>
          <w:tcPr>
            <w:tcW w:w="2160" w:type="dxa"/>
            <w:vMerge w:val="continue"/>
            <w:tcBorders>
              <w:top w:val="nil"/>
              <w:left w:val="single" w:color="auto" w:sz="4" w:space="0"/>
              <w:bottom w:val="single" w:color="auto" w:sz="4" w:space="0"/>
              <w:right w:val="single" w:color="auto" w:sz="4" w:space="0"/>
            </w:tcBorders>
            <w:shd w:val="clear" w:color="auto" w:fill="auto"/>
            <w:vAlign w:val="center"/>
          </w:tcPr>
          <w:p>
            <w:pPr>
              <w:jc w:val="center"/>
              <w:rPr>
                <w:rFonts w:hint="eastAsia" w:ascii="Times New Roman" w:hAnsi="Times New Roman" w:eastAsia="仿宋_GB2312" w:cs="仿宋_GB2312"/>
                <w:color w:val="333333"/>
                <w:sz w:val="24"/>
                <w:szCs w:val="24"/>
              </w:rPr>
            </w:pPr>
          </w:p>
        </w:tc>
        <w:tc>
          <w:tcPr>
            <w:tcW w:w="930" w:type="dxa"/>
            <w:vMerge w:val="continue"/>
            <w:tcBorders>
              <w:top w:val="nil"/>
              <w:left w:val="single" w:color="auto" w:sz="4" w:space="0"/>
              <w:bottom w:val="single" w:color="auto" w:sz="4" w:space="0"/>
              <w:right w:val="single" w:color="auto" w:sz="4" w:space="0"/>
            </w:tcBorders>
            <w:shd w:val="clear" w:color="auto" w:fill="auto"/>
            <w:vAlign w:val="center"/>
          </w:tcPr>
          <w:p>
            <w:pPr>
              <w:jc w:val="center"/>
              <w:rPr>
                <w:rFonts w:hint="eastAsia" w:ascii="Times New Roman" w:hAnsi="Times New Roman" w:eastAsia="仿宋_GB2312" w:cs="仿宋_GB2312"/>
                <w:color w:val="333333"/>
                <w:sz w:val="24"/>
                <w:szCs w:val="24"/>
              </w:rPr>
            </w:pPr>
          </w:p>
        </w:tc>
        <w:tc>
          <w:tcPr>
            <w:tcW w:w="1275" w:type="dxa"/>
            <w:vMerge w:val="continue"/>
            <w:tcBorders>
              <w:top w:val="nil"/>
              <w:left w:val="single" w:color="auto" w:sz="4" w:space="0"/>
              <w:bottom w:val="single" w:color="auto" w:sz="4" w:space="0"/>
              <w:right w:val="single" w:color="auto" w:sz="4" w:space="0"/>
            </w:tcBorders>
            <w:shd w:val="clear" w:color="auto" w:fill="auto"/>
            <w:vAlign w:val="center"/>
          </w:tcPr>
          <w:p>
            <w:pPr>
              <w:jc w:val="center"/>
              <w:rPr>
                <w:rFonts w:hint="eastAsia" w:ascii="Times New Roman" w:hAnsi="Times New Roman" w:eastAsia="仿宋_GB2312" w:cs="仿宋_GB2312"/>
                <w:color w:val="333333"/>
                <w:sz w:val="24"/>
                <w:szCs w:val="24"/>
              </w:rPr>
            </w:pPr>
          </w:p>
        </w:tc>
        <w:tc>
          <w:tcPr>
            <w:tcW w:w="2070" w:type="dxa"/>
            <w:tcBorders>
              <w:top w:val="nil"/>
              <w:left w:val="nil"/>
              <w:bottom w:val="single" w:color="auto" w:sz="4" w:space="0"/>
              <w:right w:val="single" w:color="auto"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Times New Roman" w:hAnsi="Times New Roman" w:eastAsia="仿宋_GB2312" w:cs="仿宋_GB2312"/>
                <w:b w:val="0"/>
                <w:bCs w:val="0"/>
                <w:i w:val="0"/>
                <w:iCs w:val="0"/>
                <w:sz w:val="24"/>
                <w:szCs w:val="24"/>
              </w:rPr>
            </w:pPr>
            <w:r>
              <w:rPr>
                <w:rFonts w:hint="eastAsia" w:ascii="Times New Roman" w:hAnsi="Times New Roman" w:eastAsia="仿宋_GB2312" w:cs="仿宋_GB2312"/>
                <w:b w:val="0"/>
                <w:bCs w:val="0"/>
                <w:i w:val="0"/>
                <w:iCs w:val="0"/>
                <w:color w:val="333333"/>
                <w:sz w:val="24"/>
                <w:szCs w:val="24"/>
              </w:rPr>
              <w:t>具有二种前述情形，责令改正拒不改正的</w:t>
            </w:r>
          </w:p>
        </w:tc>
        <w:tc>
          <w:tcPr>
            <w:tcW w:w="2460" w:type="dxa"/>
            <w:tcBorders>
              <w:top w:val="nil"/>
              <w:left w:val="nil"/>
              <w:bottom w:val="single" w:color="auto" w:sz="4" w:space="0"/>
              <w:right w:val="single" w:color="auto"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Times New Roman" w:hAnsi="Times New Roman" w:eastAsia="仿宋_GB2312" w:cs="仿宋_GB2312"/>
                <w:b w:val="0"/>
                <w:bCs w:val="0"/>
                <w:i w:val="0"/>
                <w:iCs w:val="0"/>
                <w:sz w:val="24"/>
                <w:szCs w:val="24"/>
              </w:rPr>
            </w:pPr>
            <w:r>
              <w:rPr>
                <w:rFonts w:hint="eastAsia" w:ascii="Times New Roman" w:hAnsi="Times New Roman" w:eastAsia="仿宋_GB2312" w:cs="仿宋_GB2312"/>
                <w:b w:val="0"/>
                <w:bCs w:val="0"/>
                <w:i w:val="0"/>
                <w:iCs w:val="0"/>
                <w:color w:val="333333"/>
                <w:sz w:val="24"/>
                <w:szCs w:val="24"/>
              </w:rPr>
              <w:t>处2万元罚款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56" w:hRule="atLeast"/>
          <w:tblCellSpacing w:w="0" w:type="dxa"/>
        </w:trPr>
        <w:tc>
          <w:tcPr>
            <w:tcW w:w="525" w:type="dxa"/>
            <w:vMerge w:val="continue"/>
            <w:tcBorders>
              <w:top w:val="nil"/>
              <w:left w:val="single" w:color="auto" w:sz="4" w:space="0"/>
              <w:bottom w:val="single" w:color="auto" w:sz="4" w:space="0"/>
              <w:right w:val="single" w:color="auto" w:sz="4" w:space="0"/>
            </w:tcBorders>
            <w:shd w:val="clear" w:color="auto" w:fill="auto"/>
            <w:vAlign w:val="center"/>
          </w:tcPr>
          <w:p>
            <w:pPr>
              <w:jc w:val="center"/>
              <w:rPr>
                <w:rFonts w:hint="eastAsia" w:ascii="Times New Roman" w:hAnsi="Times New Roman" w:eastAsia="仿宋_GB2312" w:cs="仿宋_GB2312"/>
                <w:color w:val="333333"/>
                <w:sz w:val="24"/>
                <w:szCs w:val="24"/>
              </w:rPr>
            </w:pPr>
          </w:p>
        </w:tc>
        <w:tc>
          <w:tcPr>
            <w:tcW w:w="2160" w:type="dxa"/>
            <w:vMerge w:val="continue"/>
            <w:tcBorders>
              <w:top w:val="nil"/>
              <w:left w:val="single" w:color="auto" w:sz="4" w:space="0"/>
              <w:bottom w:val="single" w:color="auto" w:sz="4" w:space="0"/>
              <w:right w:val="single" w:color="auto" w:sz="4" w:space="0"/>
            </w:tcBorders>
            <w:shd w:val="clear" w:color="auto" w:fill="auto"/>
            <w:vAlign w:val="center"/>
          </w:tcPr>
          <w:p>
            <w:pPr>
              <w:jc w:val="center"/>
              <w:rPr>
                <w:rFonts w:hint="eastAsia" w:ascii="Times New Roman" w:hAnsi="Times New Roman" w:eastAsia="仿宋_GB2312" w:cs="仿宋_GB2312"/>
                <w:color w:val="333333"/>
                <w:sz w:val="24"/>
                <w:szCs w:val="24"/>
              </w:rPr>
            </w:pPr>
          </w:p>
        </w:tc>
        <w:tc>
          <w:tcPr>
            <w:tcW w:w="930" w:type="dxa"/>
            <w:vMerge w:val="continue"/>
            <w:tcBorders>
              <w:top w:val="nil"/>
              <w:left w:val="single" w:color="auto" w:sz="4" w:space="0"/>
              <w:bottom w:val="single" w:color="auto" w:sz="4" w:space="0"/>
              <w:right w:val="single" w:color="auto" w:sz="4" w:space="0"/>
            </w:tcBorders>
            <w:shd w:val="clear" w:color="auto" w:fill="auto"/>
            <w:vAlign w:val="center"/>
          </w:tcPr>
          <w:p>
            <w:pPr>
              <w:jc w:val="center"/>
              <w:rPr>
                <w:rFonts w:hint="eastAsia" w:ascii="Times New Roman" w:hAnsi="Times New Roman" w:eastAsia="仿宋_GB2312" w:cs="仿宋_GB2312"/>
                <w:color w:val="333333"/>
                <w:sz w:val="24"/>
                <w:szCs w:val="24"/>
              </w:rPr>
            </w:pPr>
          </w:p>
        </w:tc>
        <w:tc>
          <w:tcPr>
            <w:tcW w:w="1275" w:type="dxa"/>
            <w:vMerge w:val="continue"/>
            <w:tcBorders>
              <w:top w:val="nil"/>
              <w:left w:val="single" w:color="auto" w:sz="4" w:space="0"/>
              <w:bottom w:val="single" w:color="auto" w:sz="4" w:space="0"/>
              <w:right w:val="single" w:color="auto" w:sz="4" w:space="0"/>
            </w:tcBorders>
            <w:shd w:val="clear" w:color="auto" w:fill="auto"/>
            <w:vAlign w:val="center"/>
          </w:tcPr>
          <w:p>
            <w:pPr>
              <w:jc w:val="center"/>
              <w:rPr>
                <w:rFonts w:hint="eastAsia" w:ascii="Times New Roman" w:hAnsi="Times New Roman" w:eastAsia="仿宋_GB2312" w:cs="仿宋_GB2312"/>
                <w:color w:val="333333"/>
                <w:sz w:val="24"/>
                <w:szCs w:val="24"/>
              </w:rPr>
            </w:pPr>
          </w:p>
        </w:tc>
        <w:tc>
          <w:tcPr>
            <w:tcW w:w="2070" w:type="dxa"/>
            <w:tcBorders>
              <w:top w:val="nil"/>
              <w:left w:val="nil"/>
              <w:bottom w:val="single" w:color="auto" w:sz="4" w:space="0"/>
              <w:right w:val="single" w:color="auto"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Times New Roman" w:hAnsi="Times New Roman" w:eastAsia="仿宋_GB2312" w:cs="仿宋_GB2312"/>
                <w:b w:val="0"/>
                <w:bCs w:val="0"/>
                <w:i w:val="0"/>
                <w:iCs w:val="0"/>
                <w:sz w:val="24"/>
                <w:szCs w:val="24"/>
              </w:rPr>
            </w:pPr>
            <w:r>
              <w:rPr>
                <w:rFonts w:hint="eastAsia" w:ascii="Times New Roman" w:hAnsi="Times New Roman" w:eastAsia="仿宋_GB2312" w:cs="仿宋_GB2312"/>
                <w:b w:val="0"/>
                <w:bCs w:val="0"/>
                <w:i w:val="0"/>
                <w:iCs w:val="0"/>
                <w:color w:val="333333"/>
                <w:sz w:val="24"/>
                <w:szCs w:val="24"/>
              </w:rPr>
              <w:t>具有三种前述情形，责令改正拒不改正的</w:t>
            </w:r>
          </w:p>
        </w:tc>
        <w:tc>
          <w:tcPr>
            <w:tcW w:w="2460" w:type="dxa"/>
            <w:tcBorders>
              <w:top w:val="nil"/>
              <w:left w:val="nil"/>
              <w:bottom w:val="single" w:color="auto" w:sz="4" w:space="0"/>
              <w:right w:val="single" w:color="auto"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Times New Roman" w:hAnsi="Times New Roman" w:eastAsia="仿宋_GB2312" w:cs="仿宋_GB2312"/>
                <w:b w:val="0"/>
                <w:bCs w:val="0"/>
                <w:i w:val="0"/>
                <w:iCs w:val="0"/>
                <w:sz w:val="24"/>
                <w:szCs w:val="24"/>
              </w:rPr>
            </w:pPr>
            <w:r>
              <w:rPr>
                <w:rFonts w:hint="eastAsia" w:ascii="Times New Roman" w:hAnsi="Times New Roman" w:eastAsia="仿宋_GB2312" w:cs="仿宋_GB2312"/>
                <w:b w:val="0"/>
                <w:bCs w:val="0"/>
                <w:i w:val="0"/>
                <w:iCs w:val="0"/>
                <w:color w:val="333333"/>
                <w:sz w:val="24"/>
                <w:szCs w:val="24"/>
              </w:rPr>
              <w:t>处3万元罚款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21" w:hRule="atLeast"/>
          <w:tblCellSpacing w:w="0" w:type="dxa"/>
        </w:trPr>
        <w:tc>
          <w:tcPr>
            <w:tcW w:w="525" w:type="dxa"/>
            <w:vMerge w:val="continue"/>
            <w:tcBorders>
              <w:top w:val="nil"/>
              <w:left w:val="single" w:color="auto" w:sz="4" w:space="0"/>
              <w:bottom w:val="single" w:color="auto" w:sz="4" w:space="0"/>
              <w:right w:val="single" w:color="auto" w:sz="4" w:space="0"/>
            </w:tcBorders>
            <w:shd w:val="clear" w:color="auto" w:fill="auto"/>
            <w:vAlign w:val="center"/>
          </w:tcPr>
          <w:p>
            <w:pPr>
              <w:jc w:val="center"/>
              <w:rPr>
                <w:rFonts w:hint="eastAsia" w:ascii="Times New Roman" w:hAnsi="Times New Roman" w:eastAsia="仿宋_GB2312" w:cs="仿宋_GB2312"/>
                <w:color w:val="333333"/>
                <w:sz w:val="24"/>
                <w:szCs w:val="24"/>
              </w:rPr>
            </w:pPr>
          </w:p>
        </w:tc>
        <w:tc>
          <w:tcPr>
            <w:tcW w:w="2160" w:type="dxa"/>
            <w:vMerge w:val="continue"/>
            <w:tcBorders>
              <w:top w:val="nil"/>
              <w:left w:val="single" w:color="auto" w:sz="4" w:space="0"/>
              <w:bottom w:val="single" w:color="auto" w:sz="4" w:space="0"/>
              <w:right w:val="single" w:color="auto" w:sz="4" w:space="0"/>
            </w:tcBorders>
            <w:shd w:val="clear" w:color="auto" w:fill="auto"/>
            <w:vAlign w:val="center"/>
          </w:tcPr>
          <w:p>
            <w:pPr>
              <w:jc w:val="center"/>
              <w:rPr>
                <w:rFonts w:hint="eastAsia" w:ascii="Times New Roman" w:hAnsi="Times New Roman" w:eastAsia="仿宋_GB2312" w:cs="仿宋_GB2312"/>
                <w:color w:val="333333"/>
                <w:sz w:val="24"/>
                <w:szCs w:val="24"/>
              </w:rPr>
            </w:pPr>
          </w:p>
        </w:tc>
        <w:tc>
          <w:tcPr>
            <w:tcW w:w="930" w:type="dxa"/>
            <w:vMerge w:val="continue"/>
            <w:tcBorders>
              <w:top w:val="nil"/>
              <w:left w:val="single" w:color="auto" w:sz="4" w:space="0"/>
              <w:bottom w:val="single" w:color="auto" w:sz="4" w:space="0"/>
              <w:right w:val="single" w:color="auto" w:sz="4" w:space="0"/>
            </w:tcBorders>
            <w:shd w:val="clear" w:color="auto" w:fill="auto"/>
            <w:vAlign w:val="center"/>
          </w:tcPr>
          <w:p>
            <w:pPr>
              <w:jc w:val="center"/>
              <w:rPr>
                <w:rFonts w:hint="eastAsia" w:ascii="Times New Roman" w:hAnsi="Times New Roman" w:eastAsia="仿宋_GB2312" w:cs="仿宋_GB2312"/>
                <w:color w:val="333333"/>
                <w:sz w:val="24"/>
                <w:szCs w:val="24"/>
              </w:rPr>
            </w:pPr>
          </w:p>
        </w:tc>
        <w:tc>
          <w:tcPr>
            <w:tcW w:w="1275" w:type="dxa"/>
            <w:vMerge w:val="continue"/>
            <w:tcBorders>
              <w:top w:val="nil"/>
              <w:left w:val="single" w:color="auto" w:sz="4" w:space="0"/>
              <w:bottom w:val="single" w:color="auto" w:sz="4" w:space="0"/>
              <w:right w:val="single" w:color="auto" w:sz="4" w:space="0"/>
            </w:tcBorders>
            <w:shd w:val="clear" w:color="auto" w:fill="auto"/>
            <w:vAlign w:val="center"/>
          </w:tcPr>
          <w:p>
            <w:pPr>
              <w:jc w:val="center"/>
              <w:rPr>
                <w:rFonts w:hint="eastAsia" w:ascii="Times New Roman" w:hAnsi="Times New Roman" w:eastAsia="仿宋_GB2312" w:cs="仿宋_GB2312"/>
                <w:color w:val="333333"/>
                <w:sz w:val="24"/>
                <w:szCs w:val="24"/>
              </w:rPr>
            </w:pPr>
          </w:p>
        </w:tc>
        <w:tc>
          <w:tcPr>
            <w:tcW w:w="2070" w:type="dxa"/>
            <w:tcBorders>
              <w:top w:val="nil"/>
              <w:left w:val="nil"/>
              <w:bottom w:val="single" w:color="auto" w:sz="4" w:space="0"/>
              <w:right w:val="single" w:color="auto"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Times New Roman" w:hAnsi="Times New Roman" w:eastAsia="仿宋_GB2312" w:cs="仿宋_GB2312"/>
                <w:b w:val="0"/>
                <w:bCs w:val="0"/>
                <w:i w:val="0"/>
                <w:iCs w:val="0"/>
                <w:sz w:val="24"/>
                <w:szCs w:val="24"/>
              </w:rPr>
            </w:pPr>
            <w:r>
              <w:rPr>
                <w:rFonts w:hint="eastAsia" w:ascii="Times New Roman" w:hAnsi="Times New Roman" w:eastAsia="仿宋_GB2312" w:cs="仿宋_GB2312"/>
                <w:b w:val="0"/>
                <w:bCs w:val="0"/>
                <w:i w:val="0"/>
                <w:iCs w:val="0"/>
                <w:color w:val="333333"/>
                <w:sz w:val="24"/>
                <w:szCs w:val="24"/>
              </w:rPr>
              <w:t>具有四种以上前述情形，责令改正拒不改正的</w:t>
            </w:r>
          </w:p>
        </w:tc>
        <w:tc>
          <w:tcPr>
            <w:tcW w:w="2460" w:type="dxa"/>
            <w:tcBorders>
              <w:top w:val="nil"/>
              <w:left w:val="nil"/>
              <w:bottom w:val="single" w:color="auto" w:sz="4" w:space="0"/>
              <w:right w:val="single" w:color="auto"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Times New Roman" w:hAnsi="Times New Roman" w:eastAsia="仿宋_GB2312" w:cs="仿宋_GB2312"/>
                <w:b w:val="0"/>
                <w:bCs w:val="0"/>
                <w:i w:val="0"/>
                <w:iCs w:val="0"/>
                <w:sz w:val="24"/>
                <w:szCs w:val="24"/>
              </w:rPr>
            </w:pPr>
            <w:r>
              <w:rPr>
                <w:rFonts w:hint="eastAsia" w:ascii="Times New Roman" w:hAnsi="Times New Roman" w:eastAsia="仿宋_GB2312" w:cs="仿宋_GB2312"/>
                <w:b w:val="0"/>
                <w:bCs w:val="0"/>
                <w:i w:val="0"/>
                <w:iCs w:val="0"/>
                <w:color w:val="333333"/>
                <w:sz w:val="24"/>
                <w:szCs w:val="24"/>
              </w:rPr>
              <w:t>处5万元罚款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665" w:hRule="atLeast"/>
          <w:tblCellSpacing w:w="0" w:type="dxa"/>
        </w:trPr>
        <w:tc>
          <w:tcPr>
            <w:tcW w:w="525" w:type="dxa"/>
            <w:vMerge w:val="restart"/>
            <w:tcBorders>
              <w:top w:val="nil"/>
              <w:left w:val="single" w:color="auto" w:sz="4" w:space="0"/>
              <w:bottom w:val="single" w:color="auto" w:sz="4" w:space="0"/>
              <w:right w:val="single" w:color="auto"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Times New Roman" w:hAnsi="Times New Roman" w:eastAsia="仿宋_GB2312" w:cs="仿宋_GB2312"/>
                <w:b w:val="0"/>
                <w:bCs w:val="0"/>
                <w:i w:val="0"/>
                <w:iCs w:val="0"/>
                <w:sz w:val="24"/>
                <w:szCs w:val="24"/>
              </w:rPr>
            </w:pPr>
            <w:r>
              <w:rPr>
                <w:rFonts w:hint="eastAsia" w:ascii="Times New Roman" w:hAnsi="Times New Roman" w:eastAsia="仿宋_GB2312" w:cs="仿宋_GB2312"/>
                <w:b w:val="0"/>
                <w:bCs w:val="0"/>
                <w:i w:val="0"/>
                <w:iCs w:val="0"/>
                <w:color w:val="333333"/>
                <w:sz w:val="24"/>
                <w:szCs w:val="24"/>
              </w:rPr>
              <w:t>5</w:t>
            </w:r>
          </w:p>
        </w:tc>
        <w:tc>
          <w:tcPr>
            <w:tcW w:w="2160" w:type="dxa"/>
            <w:vMerge w:val="restart"/>
            <w:tcBorders>
              <w:top w:val="nil"/>
              <w:left w:val="single" w:color="auto" w:sz="4" w:space="0"/>
              <w:bottom w:val="single" w:color="auto" w:sz="4" w:space="0"/>
              <w:right w:val="single" w:color="auto"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Times New Roman" w:hAnsi="Times New Roman" w:eastAsia="仿宋_GB2312" w:cs="仿宋_GB2312"/>
                <w:b w:val="0"/>
                <w:bCs w:val="0"/>
                <w:i w:val="0"/>
                <w:iCs w:val="0"/>
                <w:sz w:val="24"/>
                <w:szCs w:val="24"/>
              </w:rPr>
            </w:pPr>
            <w:r>
              <w:rPr>
                <w:rFonts w:hint="eastAsia" w:ascii="Times New Roman" w:hAnsi="Times New Roman" w:eastAsia="仿宋_GB2312" w:cs="仿宋_GB2312"/>
                <w:b w:val="0"/>
                <w:bCs w:val="0"/>
                <w:i w:val="0"/>
                <w:iCs w:val="0"/>
                <w:color w:val="333333"/>
                <w:sz w:val="24"/>
                <w:szCs w:val="24"/>
              </w:rPr>
              <w:t>个人将本人的医疗保障凭证交由他人冒名使用；重复享受医疗保障待遇；利用享受医疗保障待遇的机会转卖药品，接受返还现金、实物或者获得其他非法利益</w:t>
            </w:r>
          </w:p>
        </w:tc>
        <w:tc>
          <w:tcPr>
            <w:tcW w:w="930" w:type="dxa"/>
            <w:vMerge w:val="restart"/>
            <w:tcBorders>
              <w:top w:val="nil"/>
              <w:left w:val="single" w:color="auto" w:sz="4" w:space="0"/>
              <w:bottom w:val="single" w:color="auto" w:sz="4" w:space="0"/>
              <w:right w:val="single" w:color="auto"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Times New Roman" w:hAnsi="Times New Roman" w:eastAsia="仿宋_GB2312" w:cs="仿宋_GB2312"/>
                <w:b w:val="0"/>
                <w:bCs w:val="0"/>
                <w:i w:val="0"/>
                <w:iCs w:val="0"/>
                <w:sz w:val="24"/>
                <w:szCs w:val="24"/>
              </w:rPr>
            </w:pPr>
            <w:r>
              <w:rPr>
                <w:rFonts w:hint="eastAsia" w:ascii="Times New Roman" w:hAnsi="Times New Roman" w:eastAsia="仿宋_GB2312" w:cs="仿宋_GB2312"/>
                <w:b w:val="0"/>
                <w:bCs w:val="0"/>
                <w:i w:val="0"/>
                <w:iCs w:val="0"/>
                <w:color w:val="333333"/>
                <w:sz w:val="24"/>
                <w:szCs w:val="24"/>
              </w:rPr>
              <w:t>《医疗保障基金使用监督管理条例》第四十一条第一款</w:t>
            </w:r>
          </w:p>
        </w:tc>
        <w:tc>
          <w:tcPr>
            <w:tcW w:w="1275" w:type="dxa"/>
            <w:vMerge w:val="restart"/>
            <w:tcBorders>
              <w:top w:val="nil"/>
              <w:left w:val="single" w:color="auto" w:sz="4" w:space="0"/>
              <w:bottom w:val="single" w:color="auto" w:sz="4" w:space="0"/>
              <w:right w:val="single" w:color="auto"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Times New Roman" w:hAnsi="Times New Roman" w:eastAsia="仿宋_GB2312" w:cs="仿宋_GB2312"/>
                <w:b w:val="0"/>
                <w:bCs w:val="0"/>
                <w:i w:val="0"/>
                <w:iCs w:val="0"/>
                <w:sz w:val="24"/>
                <w:szCs w:val="24"/>
              </w:rPr>
            </w:pPr>
            <w:r>
              <w:rPr>
                <w:rFonts w:hint="eastAsia" w:ascii="Times New Roman" w:hAnsi="Times New Roman" w:eastAsia="仿宋_GB2312" w:cs="仿宋_GB2312"/>
                <w:b w:val="0"/>
                <w:bCs w:val="0"/>
                <w:i w:val="0"/>
                <w:iCs w:val="0"/>
                <w:color w:val="333333"/>
                <w:sz w:val="24"/>
                <w:szCs w:val="24"/>
              </w:rPr>
              <w:t>责令改正；造成医疗保障基金损失的，责令退回；属于参保人员的，暂停其医疗费用联网结算3个月至12个月</w:t>
            </w:r>
          </w:p>
        </w:tc>
        <w:tc>
          <w:tcPr>
            <w:tcW w:w="2070" w:type="dxa"/>
            <w:tcBorders>
              <w:top w:val="nil"/>
              <w:left w:val="nil"/>
              <w:bottom w:val="single" w:color="auto" w:sz="4" w:space="0"/>
              <w:right w:val="single" w:color="auto"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Times New Roman" w:hAnsi="Times New Roman" w:eastAsia="仿宋_GB2312" w:cs="仿宋_GB2312"/>
                <w:b w:val="0"/>
                <w:bCs w:val="0"/>
                <w:i w:val="0"/>
                <w:iCs w:val="0"/>
                <w:sz w:val="24"/>
                <w:szCs w:val="24"/>
              </w:rPr>
            </w:pPr>
            <w:r>
              <w:rPr>
                <w:rFonts w:hint="eastAsia" w:ascii="Times New Roman" w:hAnsi="Times New Roman" w:eastAsia="仿宋_GB2312" w:cs="仿宋_GB2312"/>
                <w:b w:val="0"/>
                <w:bCs w:val="0"/>
                <w:i w:val="0"/>
                <w:iCs w:val="0"/>
                <w:color w:val="333333"/>
                <w:sz w:val="24"/>
                <w:szCs w:val="24"/>
              </w:rPr>
              <w:t>造成基金损失低于1万元的</w:t>
            </w:r>
          </w:p>
        </w:tc>
        <w:tc>
          <w:tcPr>
            <w:tcW w:w="2460" w:type="dxa"/>
            <w:tcBorders>
              <w:top w:val="nil"/>
              <w:left w:val="nil"/>
              <w:bottom w:val="single" w:color="auto" w:sz="4" w:space="0"/>
              <w:right w:val="single" w:color="auto"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Times New Roman" w:hAnsi="Times New Roman" w:eastAsia="仿宋_GB2312" w:cs="仿宋_GB2312"/>
                <w:b w:val="0"/>
                <w:bCs w:val="0"/>
                <w:i w:val="0"/>
                <w:iCs w:val="0"/>
                <w:sz w:val="24"/>
                <w:szCs w:val="24"/>
              </w:rPr>
            </w:pPr>
            <w:r>
              <w:rPr>
                <w:rFonts w:hint="eastAsia" w:ascii="Times New Roman" w:hAnsi="Times New Roman" w:eastAsia="仿宋_GB2312" w:cs="仿宋_GB2312"/>
                <w:b w:val="0"/>
                <w:bCs w:val="0"/>
                <w:i w:val="0"/>
                <w:iCs w:val="0"/>
                <w:color w:val="333333"/>
                <w:sz w:val="24"/>
                <w:szCs w:val="24"/>
              </w:rPr>
              <w:t>经办机构暂停医疗费用联网结算3个月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906" w:hRule="atLeast"/>
          <w:tblCellSpacing w:w="0" w:type="dxa"/>
        </w:trPr>
        <w:tc>
          <w:tcPr>
            <w:tcW w:w="525" w:type="dxa"/>
            <w:vMerge w:val="continue"/>
            <w:tcBorders>
              <w:top w:val="nil"/>
              <w:left w:val="single" w:color="auto" w:sz="4" w:space="0"/>
              <w:bottom w:val="single" w:color="auto" w:sz="4" w:space="0"/>
              <w:right w:val="single" w:color="auto" w:sz="4" w:space="0"/>
            </w:tcBorders>
            <w:shd w:val="clear" w:color="auto" w:fill="auto"/>
            <w:vAlign w:val="center"/>
          </w:tcPr>
          <w:p>
            <w:pPr>
              <w:jc w:val="center"/>
              <w:rPr>
                <w:rFonts w:hint="eastAsia" w:ascii="Times New Roman" w:hAnsi="Times New Roman" w:eastAsia="仿宋_GB2312" w:cs="仿宋_GB2312"/>
                <w:color w:val="333333"/>
                <w:sz w:val="24"/>
                <w:szCs w:val="24"/>
              </w:rPr>
            </w:pPr>
          </w:p>
        </w:tc>
        <w:tc>
          <w:tcPr>
            <w:tcW w:w="2160" w:type="dxa"/>
            <w:vMerge w:val="continue"/>
            <w:tcBorders>
              <w:top w:val="nil"/>
              <w:left w:val="single" w:color="auto" w:sz="4" w:space="0"/>
              <w:bottom w:val="single" w:color="auto" w:sz="4" w:space="0"/>
              <w:right w:val="single" w:color="auto" w:sz="4" w:space="0"/>
            </w:tcBorders>
            <w:shd w:val="clear" w:color="auto" w:fill="auto"/>
            <w:vAlign w:val="center"/>
          </w:tcPr>
          <w:p>
            <w:pPr>
              <w:jc w:val="center"/>
              <w:rPr>
                <w:rFonts w:hint="eastAsia" w:ascii="Times New Roman" w:hAnsi="Times New Roman" w:eastAsia="仿宋_GB2312" w:cs="仿宋_GB2312"/>
                <w:color w:val="333333"/>
                <w:sz w:val="24"/>
                <w:szCs w:val="24"/>
              </w:rPr>
            </w:pPr>
          </w:p>
        </w:tc>
        <w:tc>
          <w:tcPr>
            <w:tcW w:w="930" w:type="dxa"/>
            <w:vMerge w:val="continue"/>
            <w:tcBorders>
              <w:top w:val="nil"/>
              <w:left w:val="single" w:color="auto" w:sz="4" w:space="0"/>
              <w:bottom w:val="single" w:color="auto" w:sz="4" w:space="0"/>
              <w:right w:val="single" w:color="auto" w:sz="4" w:space="0"/>
            </w:tcBorders>
            <w:shd w:val="clear" w:color="auto" w:fill="auto"/>
            <w:vAlign w:val="center"/>
          </w:tcPr>
          <w:p>
            <w:pPr>
              <w:jc w:val="center"/>
              <w:rPr>
                <w:rFonts w:hint="eastAsia" w:ascii="Times New Roman" w:hAnsi="Times New Roman" w:eastAsia="仿宋_GB2312" w:cs="仿宋_GB2312"/>
                <w:color w:val="333333"/>
                <w:sz w:val="24"/>
                <w:szCs w:val="24"/>
              </w:rPr>
            </w:pPr>
          </w:p>
        </w:tc>
        <w:tc>
          <w:tcPr>
            <w:tcW w:w="1275" w:type="dxa"/>
            <w:vMerge w:val="continue"/>
            <w:tcBorders>
              <w:top w:val="nil"/>
              <w:left w:val="single" w:color="auto" w:sz="4" w:space="0"/>
              <w:bottom w:val="single" w:color="auto" w:sz="4" w:space="0"/>
              <w:right w:val="single" w:color="auto" w:sz="4" w:space="0"/>
            </w:tcBorders>
            <w:shd w:val="clear" w:color="auto" w:fill="auto"/>
            <w:vAlign w:val="center"/>
          </w:tcPr>
          <w:p>
            <w:pPr>
              <w:jc w:val="center"/>
              <w:rPr>
                <w:rFonts w:hint="eastAsia" w:ascii="Times New Roman" w:hAnsi="Times New Roman" w:eastAsia="仿宋_GB2312" w:cs="仿宋_GB2312"/>
                <w:color w:val="333333"/>
                <w:sz w:val="24"/>
                <w:szCs w:val="24"/>
              </w:rPr>
            </w:pPr>
          </w:p>
        </w:tc>
        <w:tc>
          <w:tcPr>
            <w:tcW w:w="2070" w:type="dxa"/>
            <w:tcBorders>
              <w:top w:val="nil"/>
              <w:left w:val="nil"/>
              <w:bottom w:val="single" w:color="auto" w:sz="4" w:space="0"/>
              <w:right w:val="single" w:color="auto"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Times New Roman" w:hAnsi="Times New Roman" w:eastAsia="仿宋_GB2312" w:cs="仿宋_GB2312"/>
                <w:b w:val="0"/>
                <w:bCs w:val="0"/>
                <w:i w:val="0"/>
                <w:iCs w:val="0"/>
                <w:sz w:val="24"/>
                <w:szCs w:val="24"/>
              </w:rPr>
            </w:pPr>
            <w:r>
              <w:rPr>
                <w:rFonts w:hint="eastAsia" w:ascii="Times New Roman" w:hAnsi="Times New Roman" w:eastAsia="仿宋_GB2312" w:cs="仿宋_GB2312"/>
                <w:b w:val="0"/>
                <w:bCs w:val="0"/>
                <w:i w:val="0"/>
                <w:iCs w:val="0"/>
                <w:color w:val="333333"/>
                <w:sz w:val="24"/>
                <w:szCs w:val="24"/>
              </w:rPr>
              <w:t>造成基金损失1万元以上10万元以下的</w:t>
            </w:r>
          </w:p>
        </w:tc>
        <w:tc>
          <w:tcPr>
            <w:tcW w:w="2460" w:type="dxa"/>
            <w:tcBorders>
              <w:top w:val="nil"/>
              <w:left w:val="nil"/>
              <w:bottom w:val="single" w:color="auto" w:sz="4" w:space="0"/>
              <w:right w:val="single" w:color="auto"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Times New Roman" w:hAnsi="Times New Roman" w:eastAsia="仿宋_GB2312" w:cs="仿宋_GB2312"/>
                <w:b w:val="0"/>
                <w:bCs w:val="0"/>
                <w:i w:val="0"/>
                <w:iCs w:val="0"/>
                <w:sz w:val="24"/>
                <w:szCs w:val="24"/>
              </w:rPr>
            </w:pPr>
            <w:r>
              <w:rPr>
                <w:rFonts w:hint="eastAsia" w:ascii="Times New Roman" w:hAnsi="Times New Roman" w:eastAsia="仿宋_GB2312" w:cs="仿宋_GB2312"/>
                <w:b w:val="0"/>
                <w:bCs w:val="0"/>
                <w:i w:val="0"/>
                <w:iCs w:val="0"/>
                <w:color w:val="333333"/>
                <w:sz w:val="24"/>
                <w:szCs w:val="24"/>
              </w:rPr>
              <w:t>经办机构暂停医疗费用联网结算6个月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191" w:hRule="atLeast"/>
          <w:tblCellSpacing w:w="0" w:type="dxa"/>
        </w:trPr>
        <w:tc>
          <w:tcPr>
            <w:tcW w:w="525" w:type="dxa"/>
            <w:vMerge w:val="continue"/>
            <w:tcBorders>
              <w:top w:val="nil"/>
              <w:left w:val="single" w:color="auto" w:sz="4" w:space="0"/>
              <w:bottom w:val="single" w:color="auto" w:sz="4" w:space="0"/>
              <w:right w:val="single" w:color="auto" w:sz="4" w:space="0"/>
            </w:tcBorders>
            <w:shd w:val="clear" w:color="auto" w:fill="auto"/>
            <w:vAlign w:val="center"/>
          </w:tcPr>
          <w:p>
            <w:pPr>
              <w:jc w:val="center"/>
              <w:rPr>
                <w:rFonts w:hint="eastAsia" w:ascii="Times New Roman" w:hAnsi="Times New Roman" w:eastAsia="仿宋_GB2312" w:cs="仿宋_GB2312"/>
                <w:color w:val="333333"/>
                <w:sz w:val="24"/>
                <w:szCs w:val="24"/>
              </w:rPr>
            </w:pPr>
          </w:p>
        </w:tc>
        <w:tc>
          <w:tcPr>
            <w:tcW w:w="2160" w:type="dxa"/>
            <w:vMerge w:val="continue"/>
            <w:tcBorders>
              <w:top w:val="nil"/>
              <w:left w:val="single" w:color="auto" w:sz="4" w:space="0"/>
              <w:bottom w:val="single" w:color="auto" w:sz="4" w:space="0"/>
              <w:right w:val="single" w:color="auto" w:sz="4" w:space="0"/>
            </w:tcBorders>
            <w:shd w:val="clear" w:color="auto" w:fill="auto"/>
            <w:vAlign w:val="center"/>
          </w:tcPr>
          <w:p>
            <w:pPr>
              <w:jc w:val="center"/>
              <w:rPr>
                <w:rFonts w:hint="eastAsia" w:ascii="Times New Roman" w:hAnsi="Times New Roman" w:eastAsia="仿宋_GB2312" w:cs="仿宋_GB2312"/>
                <w:color w:val="333333"/>
                <w:sz w:val="24"/>
                <w:szCs w:val="24"/>
              </w:rPr>
            </w:pPr>
          </w:p>
        </w:tc>
        <w:tc>
          <w:tcPr>
            <w:tcW w:w="930" w:type="dxa"/>
            <w:vMerge w:val="continue"/>
            <w:tcBorders>
              <w:top w:val="nil"/>
              <w:left w:val="single" w:color="auto" w:sz="4" w:space="0"/>
              <w:bottom w:val="single" w:color="auto" w:sz="4" w:space="0"/>
              <w:right w:val="single" w:color="auto" w:sz="4" w:space="0"/>
            </w:tcBorders>
            <w:shd w:val="clear" w:color="auto" w:fill="auto"/>
            <w:vAlign w:val="center"/>
          </w:tcPr>
          <w:p>
            <w:pPr>
              <w:jc w:val="center"/>
              <w:rPr>
                <w:rFonts w:hint="eastAsia" w:ascii="Times New Roman" w:hAnsi="Times New Roman" w:eastAsia="仿宋_GB2312" w:cs="仿宋_GB2312"/>
                <w:color w:val="333333"/>
                <w:sz w:val="24"/>
                <w:szCs w:val="24"/>
              </w:rPr>
            </w:pPr>
          </w:p>
        </w:tc>
        <w:tc>
          <w:tcPr>
            <w:tcW w:w="1275" w:type="dxa"/>
            <w:vMerge w:val="continue"/>
            <w:tcBorders>
              <w:top w:val="nil"/>
              <w:left w:val="single" w:color="auto" w:sz="4" w:space="0"/>
              <w:bottom w:val="single" w:color="auto" w:sz="4" w:space="0"/>
              <w:right w:val="single" w:color="auto" w:sz="4" w:space="0"/>
            </w:tcBorders>
            <w:shd w:val="clear" w:color="auto" w:fill="auto"/>
            <w:vAlign w:val="center"/>
          </w:tcPr>
          <w:p>
            <w:pPr>
              <w:jc w:val="center"/>
              <w:rPr>
                <w:rFonts w:hint="eastAsia" w:ascii="Times New Roman" w:hAnsi="Times New Roman" w:eastAsia="仿宋_GB2312" w:cs="仿宋_GB2312"/>
                <w:color w:val="333333"/>
                <w:sz w:val="24"/>
                <w:szCs w:val="24"/>
              </w:rPr>
            </w:pPr>
          </w:p>
        </w:tc>
        <w:tc>
          <w:tcPr>
            <w:tcW w:w="2070" w:type="dxa"/>
            <w:tcBorders>
              <w:top w:val="nil"/>
              <w:left w:val="nil"/>
              <w:bottom w:val="single" w:color="auto" w:sz="4" w:space="0"/>
              <w:right w:val="single" w:color="auto"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Times New Roman" w:hAnsi="Times New Roman" w:eastAsia="仿宋_GB2312" w:cs="仿宋_GB2312"/>
                <w:b w:val="0"/>
                <w:bCs w:val="0"/>
                <w:i w:val="0"/>
                <w:iCs w:val="0"/>
                <w:sz w:val="24"/>
                <w:szCs w:val="24"/>
              </w:rPr>
            </w:pPr>
            <w:r>
              <w:rPr>
                <w:rFonts w:hint="eastAsia" w:ascii="Times New Roman" w:hAnsi="Times New Roman" w:eastAsia="仿宋_GB2312" w:cs="仿宋_GB2312"/>
                <w:b w:val="0"/>
                <w:bCs w:val="0"/>
                <w:i w:val="0"/>
                <w:iCs w:val="0"/>
                <w:color w:val="333333"/>
                <w:sz w:val="24"/>
                <w:szCs w:val="24"/>
              </w:rPr>
              <w:t>造成基金损失高于10万元且在50万元以下的</w:t>
            </w:r>
          </w:p>
        </w:tc>
        <w:tc>
          <w:tcPr>
            <w:tcW w:w="2460" w:type="dxa"/>
            <w:tcBorders>
              <w:top w:val="nil"/>
              <w:left w:val="nil"/>
              <w:bottom w:val="single" w:color="auto" w:sz="4" w:space="0"/>
              <w:right w:val="single" w:color="auto"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Times New Roman" w:hAnsi="Times New Roman" w:eastAsia="仿宋_GB2312" w:cs="仿宋_GB2312"/>
                <w:b w:val="0"/>
                <w:bCs w:val="0"/>
                <w:i w:val="0"/>
                <w:iCs w:val="0"/>
                <w:sz w:val="24"/>
                <w:szCs w:val="24"/>
              </w:rPr>
            </w:pPr>
            <w:r>
              <w:rPr>
                <w:rFonts w:hint="eastAsia" w:ascii="Times New Roman" w:hAnsi="Times New Roman" w:eastAsia="仿宋_GB2312" w:cs="仿宋_GB2312"/>
                <w:b w:val="0"/>
                <w:bCs w:val="0"/>
                <w:i w:val="0"/>
                <w:iCs w:val="0"/>
                <w:color w:val="333333"/>
                <w:sz w:val="24"/>
                <w:szCs w:val="24"/>
              </w:rPr>
              <w:t>经办机构暂停医疗费用联网结算9个月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876" w:hRule="atLeast"/>
          <w:tblCellSpacing w:w="0" w:type="dxa"/>
        </w:trPr>
        <w:tc>
          <w:tcPr>
            <w:tcW w:w="525" w:type="dxa"/>
            <w:vMerge w:val="continue"/>
            <w:tcBorders>
              <w:top w:val="nil"/>
              <w:left w:val="single" w:color="auto" w:sz="4" w:space="0"/>
              <w:bottom w:val="single" w:color="auto" w:sz="4" w:space="0"/>
              <w:right w:val="single" w:color="auto" w:sz="4" w:space="0"/>
            </w:tcBorders>
            <w:shd w:val="clear" w:color="auto" w:fill="auto"/>
            <w:vAlign w:val="center"/>
          </w:tcPr>
          <w:p>
            <w:pPr>
              <w:jc w:val="center"/>
              <w:rPr>
                <w:rFonts w:hint="eastAsia" w:ascii="Times New Roman" w:hAnsi="Times New Roman" w:eastAsia="仿宋_GB2312" w:cs="仿宋_GB2312"/>
                <w:color w:val="333333"/>
                <w:sz w:val="24"/>
                <w:szCs w:val="24"/>
              </w:rPr>
            </w:pPr>
          </w:p>
        </w:tc>
        <w:tc>
          <w:tcPr>
            <w:tcW w:w="2160" w:type="dxa"/>
            <w:vMerge w:val="continue"/>
            <w:tcBorders>
              <w:top w:val="nil"/>
              <w:left w:val="single" w:color="auto" w:sz="4" w:space="0"/>
              <w:bottom w:val="single" w:color="auto" w:sz="4" w:space="0"/>
              <w:right w:val="single" w:color="auto" w:sz="4" w:space="0"/>
            </w:tcBorders>
            <w:shd w:val="clear" w:color="auto" w:fill="auto"/>
            <w:vAlign w:val="center"/>
          </w:tcPr>
          <w:p>
            <w:pPr>
              <w:jc w:val="center"/>
              <w:rPr>
                <w:rFonts w:hint="eastAsia" w:ascii="Times New Roman" w:hAnsi="Times New Roman" w:eastAsia="仿宋_GB2312" w:cs="仿宋_GB2312"/>
                <w:color w:val="333333"/>
                <w:sz w:val="24"/>
                <w:szCs w:val="24"/>
              </w:rPr>
            </w:pPr>
          </w:p>
        </w:tc>
        <w:tc>
          <w:tcPr>
            <w:tcW w:w="930" w:type="dxa"/>
            <w:vMerge w:val="continue"/>
            <w:tcBorders>
              <w:top w:val="nil"/>
              <w:left w:val="single" w:color="auto" w:sz="4" w:space="0"/>
              <w:bottom w:val="single" w:color="auto" w:sz="4" w:space="0"/>
              <w:right w:val="single" w:color="auto" w:sz="4" w:space="0"/>
            </w:tcBorders>
            <w:shd w:val="clear" w:color="auto" w:fill="auto"/>
            <w:vAlign w:val="center"/>
          </w:tcPr>
          <w:p>
            <w:pPr>
              <w:jc w:val="center"/>
              <w:rPr>
                <w:rFonts w:hint="eastAsia" w:ascii="Times New Roman" w:hAnsi="Times New Roman" w:eastAsia="仿宋_GB2312" w:cs="仿宋_GB2312"/>
                <w:color w:val="333333"/>
                <w:sz w:val="24"/>
                <w:szCs w:val="24"/>
              </w:rPr>
            </w:pPr>
          </w:p>
        </w:tc>
        <w:tc>
          <w:tcPr>
            <w:tcW w:w="1275" w:type="dxa"/>
            <w:vMerge w:val="continue"/>
            <w:tcBorders>
              <w:top w:val="nil"/>
              <w:left w:val="single" w:color="auto" w:sz="4" w:space="0"/>
              <w:bottom w:val="single" w:color="auto" w:sz="4" w:space="0"/>
              <w:right w:val="single" w:color="auto" w:sz="4" w:space="0"/>
            </w:tcBorders>
            <w:shd w:val="clear" w:color="auto" w:fill="auto"/>
            <w:vAlign w:val="center"/>
          </w:tcPr>
          <w:p>
            <w:pPr>
              <w:jc w:val="center"/>
              <w:rPr>
                <w:rFonts w:hint="eastAsia" w:ascii="Times New Roman" w:hAnsi="Times New Roman" w:eastAsia="仿宋_GB2312" w:cs="仿宋_GB2312"/>
                <w:color w:val="333333"/>
                <w:sz w:val="24"/>
                <w:szCs w:val="24"/>
              </w:rPr>
            </w:pPr>
          </w:p>
        </w:tc>
        <w:tc>
          <w:tcPr>
            <w:tcW w:w="2070" w:type="dxa"/>
            <w:tcBorders>
              <w:top w:val="nil"/>
              <w:left w:val="nil"/>
              <w:bottom w:val="single" w:color="auto" w:sz="4" w:space="0"/>
              <w:right w:val="single" w:color="auto"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Times New Roman" w:hAnsi="Times New Roman" w:eastAsia="仿宋_GB2312" w:cs="仿宋_GB2312"/>
                <w:b w:val="0"/>
                <w:bCs w:val="0"/>
                <w:i w:val="0"/>
                <w:iCs w:val="0"/>
                <w:sz w:val="24"/>
                <w:szCs w:val="24"/>
              </w:rPr>
            </w:pPr>
            <w:r>
              <w:rPr>
                <w:rFonts w:hint="eastAsia" w:ascii="Times New Roman" w:hAnsi="Times New Roman" w:eastAsia="仿宋_GB2312" w:cs="仿宋_GB2312"/>
                <w:b w:val="0"/>
                <w:bCs w:val="0"/>
                <w:i w:val="0"/>
                <w:iCs w:val="0"/>
                <w:color w:val="333333"/>
                <w:sz w:val="24"/>
                <w:szCs w:val="24"/>
              </w:rPr>
              <w:t>造成基金损失高于50万元的</w:t>
            </w:r>
          </w:p>
        </w:tc>
        <w:tc>
          <w:tcPr>
            <w:tcW w:w="2460" w:type="dxa"/>
            <w:tcBorders>
              <w:top w:val="nil"/>
              <w:left w:val="nil"/>
              <w:bottom w:val="single" w:color="auto" w:sz="4" w:space="0"/>
              <w:right w:val="single" w:color="auto"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Times New Roman" w:hAnsi="Times New Roman" w:eastAsia="仿宋_GB2312" w:cs="仿宋_GB2312"/>
                <w:b w:val="0"/>
                <w:bCs w:val="0"/>
                <w:i w:val="0"/>
                <w:iCs w:val="0"/>
                <w:sz w:val="24"/>
                <w:szCs w:val="24"/>
              </w:rPr>
            </w:pPr>
            <w:r>
              <w:rPr>
                <w:rFonts w:hint="eastAsia" w:ascii="Times New Roman" w:hAnsi="Times New Roman" w:eastAsia="仿宋_GB2312" w:cs="仿宋_GB2312"/>
                <w:b w:val="0"/>
                <w:bCs w:val="0"/>
                <w:i w:val="0"/>
                <w:iCs w:val="0"/>
                <w:color w:val="333333"/>
                <w:sz w:val="24"/>
                <w:szCs w:val="24"/>
              </w:rPr>
              <w:t>经办机构暂停医疗费用联网结算12个月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35" w:hRule="atLeast"/>
          <w:tblCellSpacing w:w="0" w:type="dxa"/>
        </w:trPr>
        <w:tc>
          <w:tcPr>
            <w:tcW w:w="525" w:type="dxa"/>
            <w:vMerge w:val="restart"/>
            <w:tcBorders>
              <w:top w:val="nil"/>
              <w:left w:val="single" w:color="auto" w:sz="4" w:space="0"/>
              <w:bottom w:val="single" w:color="auto" w:sz="4" w:space="0"/>
              <w:right w:val="single" w:color="auto"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Times New Roman" w:hAnsi="Times New Roman" w:eastAsia="仿宋_GB2312" w:cs="仿宋_GB2312"/>
                <w:b w:val="0"/>
                <w:bCs w:val="0"/>
                <w:i w:val="0"/>
                <w:iCs w:val="0"/>
                <w:sz w:val="24"/>
                <w:szCs w:val="24"/>
              </w:rPr>
            </w:pPr>
            <w:r>
              <w:rPr>
                <w:rFonts w:hint="eastAsia" w:ascii="Times New Roman" w:hAnsi="Times New Roman" w:eastAsia="仿宋_GB2312" w:cs="仿宋_GB2312"/>
                <w:b w:val="0"/>
                <w:bCs w:val="0"/>
                <w:i w:val="0"/>
                <w:iCs w:val="0"/>
                <w:color w:val="333333"/>
                <w:sz w:val="24"/>
                <w:szCs w:val="24"/>
              </w:rPr>
              <w:t>6</w:t>
            </w:r>
          </w:p>
        </w:tc>
        <w:tc>
          <w:tcPr>
            <w:tcW w:w="2160" w:type="dxa"/>
            <w:vMerge w:val="restart"/>
            <w:tcBorders>
              <w:top w:val="nil"/>
              <w:left w:val="single" w:color="auto" w:sz="4" w:space="0"/>
              <w:bottom w:val="single" w:color="auto" w:sz="4" w:space="0"/>
              <w:right w:val="single" w:color="auto"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Times New Roman" w:hAnsi="Times New Roman" w:eastAsia="仿宋_GB2312" w:cs="仿宋_GB2312"/>
                <w:b w:val="0"/>
                <w:bCs w:val="0"/>
                <w:i w:val="0"/>
                <w:iCs w:val="0"/>
                <w:sz w:val="24"/>
                <w:szCs w:val="24"/>
              </w:rPr>
            </w:pPr>
            <w:r>
              <w:rPr>
                <w:rFonts w:hint="eastAsia" w:ascii="Times New Roman" w:hAnsi="Times New Roman" w:eastAsia="仿宋_GB2312" w:cs="仿宋_GB2312"/>
                <w:b w:val="0"/>
                <w:bCs w:val="0"/>
                <w:i w:val="0"/>
                <w:iCs w:val="0"/>
                <w:color w:val="333333"/>
                <w:sz w:val="24"/>
                <w:szCs w:val="24"/>
              </w:rPr>
              <w:t>个人以骗取医疗保障基金为目的，实施下列行为之一，造成医疗保障基金损失的：将本人的医疗保障凭证交由他人冒名使用；重复享受医疗保障待遇；利用享受医疗保障待遇的机会转卖药品，接受返还现金、实物或者获得其他非法利益的；或者使用他人医疗保障凭证冒名就医、购药的；或者通过伪造、变造、隐匿、涂改、销毁医学文书、医学证明、会计凭证、电子信息等有关资料或者虚构医药服务项目等方式，骗取医疗保障基金支出</w:t>
            </w:r>
          </w:p>
        </w:tc>
        <w:tc>
          <w:tcPr>
            <w:tcW w:w="930" w:type="dxa"/>
            <w:vMerge w:val="restart"/>
            <w:tcBorders>
              <w:top w:val="nil"/>
              <w:left w:val="single" w:color="auto" w:sz="4" w:space="0"/>
              <w:bottom w:val="single" w:color="auto" w:sz="4" w:space="0"/>
              <w:right w:val="single" w:color="auto"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Times New Roman" w:hAnsi="Times New Roman" w:eastAsia="仿宋_GB2312" w:cs="仿宋_GB2312"/>
                <w:b w:val="0"/>
                <w:bCs w:val="0"/>
                <w:i w:val="0"/>
                <w:iCs w:val="0"/>
                <w:sz w:val="24"/>
                <w:szCs w:val="24"/>
              </w:rPr>
            </w:pPr>
            <w:r>
              <w:rPr>
                <w:rFonts w:hint="eastAsia" w:ascii="Times New Roman" w:hAnsi="Times New Roman" w:eastAsia="仿宋_GB2312" w:cs="仿宋_GB2312"/>
                <w:b w:val="0"/>
                <w:bCs w:val="0"/>
                <w:i w:val="0"/>
                <w:iCs w:val="0"/>
                <w:color w:val="333333"/>
                <w:sz w:val="24"/>
                <w:szCs w:val="24"/>
              </w:rPr>
              <w:t>《医疗保障基金使用监督管理条例》第四十一条第二款</w:t>
            </w:r>
          </w:p>
        </w:tc>
        <w:tc>
          <w:tcPr>
            <w:tcW w:w="1275" w:type="dxa"/>
            <w:vMerge w:val="restart"/>
            <w:tcBorders>
              <w:top w:val="nil"/>
              <w:left w:val="single" w:color="auto" w:sz="4" w:space="0"/>
              <w:bottom w:val="single" w:color="auto" w:sz="4" w:space="0"/>
              <w:right w:val="single" w:color="auto"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Times New Roman" w:hAnsi="Times New Roman" w:eastAsia="仿宋_GB2312" w:cs="仿宋_GB2312"/>
                <w:b w:val="0"/>
                <w:bCs w:val="0"/>
                <w:i w:val="0"/>
                <w:iCs w:val="0"/>
                <w:sz w:val="24"/>
                <w:szCs w:val="24"/>
              </w:rPr>
            </w:pPr>
            <w:r>
              <w:rPr>
                <w:rFonts w:hint="eastAsia" w:ascii="Times New Roman" w:hAnsi="Times New Roman" w:eastAsia="仿宋_GB2312" w:cs="仿宋_GB2312"/>
                <w:b w:val="0"/>
                <w:bCs w:val="0"/>
                <w:i w:val="0"/>
                <w:iCs w:val="0"/>
                <w:color w:val="333333"/>
                <w:sz w:val="24"/>
                <w:szCs w:val="24"/>
              </w:rPr>
              <w:t>责令改正；造成医疗保障基金损失的，责令退回；属于参保人员的，暂停其医疗费用联网结算3个月至12个月；由医疗保障行政部门处骗取金额2倍以上5倍以下的罚款</w:t>
            </w:r>
          </w:p>
        </w:tc>
        <w:tc>
          <w:tcPr>
            <w:tcW w:w="2070" w:type="dxa"/>
            <w:tcBorders>
              <w:top w:val="nil"/>
              <w:left w:val="nil"/>
              <w:bottom w:val="single" w:color="auto" w:sz="4" w:space="0"/>
              <w:right w:val="single" w:color="auto"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Times New Roman" w:hAnsi="Times New Roman" w:eastAsia="仿宋_GB2312" w:cs="仿宋_GB2312"/>
                <w:b w:val="0"/>
                <w:bCs w:val="0"/>
                <w:i w:val="0"/>
                <w:iCs w:val="0"/>
                <w:sz w:val="24"/>
                <w:szCs w:val="24"/>
              </w:rPr>
            </w:pPr>
            <w:r>
              <w:rPr>
                <w:rFonts w:hint="eastAsia" w:ascii="Times New Roman" w:hAnsi="Times New Roman" w:eastAsia="仿宋_GB2312" w:cs="仿宋_GB2312"/>
                <w:b w:val="0"/>
                <w:bCs w:val="0"/>
                <w:i w:val="0"/>
                <w:iCs w:val="0"/>
                <w:color w:val="333333"/>
                <w:sz w:val="24"/>
                <w:szCs w:val="24"/>
              </w:rPr>
              <w:t>骗取医疗保障基金支出低于6000元的</w:t>
            </w:r>
          </w:p>
        </w:tc>
        <w:tc>
          <w:tcPr>
            <w:tcW w:w="2460" w:type="dxa"/>
            <w:tcBorders>
              <w:top w:val="nil"/>
              <w:left w:val="nil"/>
              <w:bottom w:val="single" w:color="auto" w:sz="4" w:space="0"/>
              <w:right w:val="single" w:color="auto"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Times New Roman" w:hAnsi="Times New Roman" w:eastAsia="仿宋_GB2312" w:cs="仿宋_GB2312"/>
                <w:b w:val="0"/>
                <w:bCs w:val="0"/>
                <w:i w:val="0"/>
                <w:iCs w:val="0"/>
                <w:sz w:val="24"/>
                <w:szCs w:val="24"/>
              </w:rPr>
            </w:pPr>
            <w:r>
              <w:rPr>
                <w:rFonts w:hint="eastAsia" w:ascii="Times New Roman" w:hAnsi="Times New Roman" w:eastAsia="仿宋_GB2312" w:cs="仿宋_GB2312"/>
                <w:b w:val="0"/>
                <w:bCs w:val="0"/>
                <w:i w:val="0"/>
                <w:iCs w:val="0"/>
                <w:color w:val="333333"/>
                <w:sz w:val="24"/>
                <w:szCs w:val="24"/>
              </w:rPr>
              <w:t>处骗取金额2倍的罚款，经办机构暂停医疗费用联网结算3个月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981" w:hRule="atLeast"/>
          <w:tblCellSpacing w:w="0" w:type="dxa"/>
        </w:trPr>
        <w:tc>
          <w:tcPr>
            <w:tcW w:w="525" w:type="dxa"/>
            <w:vMerge w:val="continue"/>
            <w:tcBorders>
              <w:top w:val="nil"/>
              <w:left w:val="single" w:color="auto" w:sz="4" w:space="0"/>
              <w:bottom w:val="single" w:color="auto" w:sz="4" w:space="0"/>
              <w:right w:val="single" w:color="auto" w:sz="4" w:space="0"/>
            </w:tcBorders>
            <w:shd w:val="clear" w:color="auto" w:fill="auto"/>
            <w:vAlign w:val="center"/>
          </w:tcPr>
          <w:p>
            <w:pPr>
              <w:jc w:val="center"/>
              <w:rPr>
                <w:rFonts w:hint="eastAsia" w:ascii="Times New Roman" w:hAnsi="Times New Roman" w:eastAsia="仿宋_GB2312" w:cs="仿宋_GB2312"/>
                <w:color w:val="333333"/>
                <w:sz w:val="24"/>
                <w:szCs w:val="24"/>
              </w:rPr>
            </w:pPr>
          </w:p>
        </w:tc>
        <w:tc>
          <w:tcPr>
            <w:tcW w:w="2160" w:type="dxa"/>
            <w:vMerge w:val="continue"/>
            <w:tcBorders>
              <w:top w:val="nil"/>
              <w:left w:val="single" w:color="auto" w:sz="4" w:space="0"/>
              <w:bottom w:val="single" w:color="auto" w:sz="4" w:space="0"/>
              <w:right w:val="single" w:color="auto" w:sz="4" w:space="0"/>
            </w:tcBorders>
            <w:shd w:val="clear" w:color="auto" w:fill="auto"/>
            <w:vAlign w:val="center"/>
          </w:tcPr>
          <w:p>
            <w:pPr>
              <w:jc w:val="center"/>
              <w:rPr>
                <w:rFonts w:hint="eastAsia" w:ascii="Times New Roman" w:hAnsi="Times New Roman" w:eastAsia="仿宋_GB2312" w:cs="仿宋_GB2312"/>
                <w:color w:val="333333"/>
                <w:sz w:val="24"/>
                <w:szCs w:val="24"/>
              </w:rPr>
            </w:pPr>
          </w:p>
        </w:tc>
        <w:tc>
          <w:tcPr>
            <w:tcW w:w="930" w:type="dxa"/>
            <w:vMerge w:val="continue"/>
            <w:tcBorders>
              <w:top w:val="nil"/>
              <w:left w:val="single" w:color="auto" w:sz="4" w:space="0"/>
              <w:bottom w:val="single" w:color="auto" w:sz="4" w:space="0"/>
              <w:right w:val="single" w:color="auto" w:sz="4" w:space="0"/>
            </w:tcBorders>
            <w:shd w:val="clear" w:color="auto" w:fill="auto"/>
            <w:vAlign w:val="center"/>
          </w:tcPr>
          <w:p>
            <w:pPr>
              <w:jc w:val="center"/>
              <w:rPr>
                <w:rFonts w:hint="eastAsia" w:ascii="Times New Roman" w:hAnsi="Times New Roman" w:eastAsia="仿宋_GB2312" w:cs="仿宋_GB2312"/>
                <w:color w:val="333333"/>
                <w:sz w:val="24"/>
                <w:szCs w:val="24"/>
              </w:rPr>
            </w:pPr>
          </w:p>
        </w:tc>
        <w:tc>
          <w:tcPr>
            <w:tcW w:w="1275" w:type="dxa"/>
            <w:vMerge w:val="continue"/>
            <w:tcBorders>
              <w:top w:val="nil"/>
              <w:left w:val="single" w:color="auto" w:sz="4" w:space="0"/>
              <w:bottom w:val="single" w:color="auto" w:sz="4" w:space="0"/>
              <w:right w:val="single" w:color="auto" w:sz="4" w:space="0"/>
            </w:tcBorders>
            <w:shd w:val="clear" w:color="auto" w:fill="auto"/>
            <w:vAlign w:val="center"/>
          </w:tcPr>
          <w:p>
            <w:pPr>
              <w:jc w:val="center"/>
              <w:rPr>
                <w:rFonts w:hint="eastAsia" w:ascii="Times New Roman" w:hAnsi="Times New Roman" w:eastAsia="仿宋_GB2312" w:cs="仿宋_GB2312"/>
                <w:color w:val="333333"/>
                <w:sz w:val="24"/>
                <w:szCs w:val="24"/>
              </w:rPr>
            </w:pPr>
          </w:p>
        </w:tc>
        <w:tc>
          <w:tcPr>
            <w:tcW w:w="2070" w:type="dxa"/>
            <w:tcBorders>
              <w:top w:val="nil"/>
              <w:left w:val="nil"/>
              <w:bottom w:val="single" w:color="auto" w:sz="4" w:space="0"/>
              <w:right w:val="single" w:color="auto"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Times New Roman" w:hAnsi="Times New Roman" w:eastAsia="仿宋_GB2312" w:cs="仿宋_GB2312"/>
                <w:b w:val="0"/>
                <w:bCs w:val="0"/>
                <w:i w:val="0"/>
                <w:iCs w:val="0"/>
                <w:sz w:val="24"/>
                <w:szCs w:val="24"/>
              </w:rPr>
            </w:pPr>
            <w:r>
              <w:rPr>
                <w:rFonts w:hint="eastAsia" w:ascii="Times New Roman" w:hAnsi="Times New Roman" w:eastAsia="仿宋_GB2312" w:cs="仿宋_GB2312"/>
                <w:b w:val="0"/>
                <w:bCs w:val="0"/>
                <w:i w:val="0"/>
                <w:iCs w:val="0"/>
                <w:color w:val="333333"/>
                <w:sz w:val="24"/>
                <w:szCs w:val="24"/>
              </w:rPr>
              <w:t>骗取医疗保障基金支出6000元以上10万元以下</w:t>
            </w:r>
          </w:p>
        </w:tc>
        <w:tc>
          <w:tcPr>
            <w:tcW w:w="2460" w:type="dxa"/>
            <w:tcBorders>
              <w:top w:val="nil"/>
              <w:left w:val="nil"/>
              <w:bottom w:val="single" w:color="auto" w:sz="4" w:space="0"/>
              <w:right w:val="single" w:color="auto"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Times New Roman" w:hAnsi="Times New Roman" w:eastAsia="仿宋_GB2312" w:cs="仿宋_GB2312"/>
                <w:b w:val="0"/>
                <w:bCs w:val="0"/>
                <w:i w:val="0"/>
                <w:iCs w:val="0"/>
                <w:sz w:val="24"/>
                <w:szCs w:val="24"/>
              </w:rPr>
            </w:pPr>
            <w:r>
              <w:rPr>
                <w:rFonts w:hint="eastAsia" w:ascii="Times New Roman" w:hAnsi="Times New Roman" w:eastAsia="仿宋_GB2312" w:cs="仿宋_GB2312"/>
                <w:b w:val="0"/>
                <w:bCs w:val="0"/>
                <w:i w:val="0"/>
                <w:iCs w:val="0"/>
                <w:color w:val="333333"/>
                <w:sz w:val="24"/>
                <w:szCs w:val="24"/>
              </w:rPr>
              <w:t>处骗取金额3倍的罚款，经办机构暂停医疗费用联网结算6个月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01" w:hRule="atLeast"/>
          <w:tblCellSpacing w:w="0" w:type="dxa"/>
        </w:trPr>
        <w:tc>
          <w:tcPr>
            <w:tcW w:w="525" w:type="dxa"/>
            <w:vMerge w:val="continue"/>
            <w:tcBorders>
              <w:top w:val="nil"/>
              <w:left w:val="single" w:color="auto" w:sz="4" w:space="0"/>
              <w:bottom w:val="single" w:color="auto" w:sz="4" w:space="0"/>
              <w:right w:val="single" w:color="auto" w:sz="4" w:space="0"/>
            </w:tcBorders>
            <w:shd w:val="clear" w:color="auto" w:fill="auto"/>
            <w:vAlign w:val="center"/>
          </w:tcPr>
          <w:p>
            <w:pPr>
              <w:jc w:val="center"/>
              <w:rPr>
                <w:rFonts w:hint="eastAsia" w:ascii="Times New Roman" w:hAnsi="Times New Roman" w:eastAsia="仿宋_GB2312" w:cs="仿宋_GB2312"/>
                <w:color w:val="333333"/>
                <w:sz w:val="24"/>
                <w:szCs w:val="24"/>
              </w:rPr>
            </w:pPr>
          </w:p>
        </w:tc>
        <w:tc>
          <w:tcPr>
            <w:tcW w:w="2160" w:type="dxa"/>
            <w:vMerge w:val="continue"/>
            <w:tcBorders>
              <w:top w:val="nil"/>
              <w:left w:val="single" w:color="auto" w:sz="4" w:space="0"/>
              <w:bottom w:val="single" w:color="auto" w:sz="4" w:space="0"/>
              <w:right w:val="single" w:color="auto" w:sz="4" w:space="0"/>
            </w:tcBorders>
            <w:shd w:val="clear" w:color="auto" w:fill="auto"/>
            <w:vAlign w:val="center"/>
          </w:tcPr>
          <w:p>
            <w:pPr>
              <w:jc w:val="center"/>
              <w:rPr>
                <w:rFonts w:hint="eastAsia" w:ascii="Times New Roman" w:hAnsi="Times New Roman" w:eastAsia="仿宋_GB2312" w:cs="仿宋_GB2312"/>
                <w:color w:val="333333"/>
                <w:sz w:val="24"/>
                <w:szCs w:val="24"/>
              </w:rPr>
            </w:pPr>
          </w:p>
        </w:tc>
        <w:tc>
          <w:tcPr>
            <w:tcW w:w="930" w:type="dxa"/>
            <w:vMerge w:val="continue"/>
            <w:tcBorders>
              <w:top w:val="nil"/>
              <w:left w:val="single" w:color="auto" w:sz="4" w:space="0"/>
              <w:bottom w:val="single" w:color="auto" w:sz="4" w:space="0"/>
              <w:right w:val="single" w:color="auto" w:sz="4" w:space="0"/>
            </w:tcBorders>
            <w:shd w:val="clear" w:color="auto" w:fill="auto"/>
            <w:vAlign w:val="center"/>
          </w:tcPr>
          <w:p>
            <w:pPr>
              <w:jc w:val="center"/>
              <w:rPr>
                <w:rFonts w:hint="eastAsia" w:ascii="Times New Roman" w:hAnsi="Times New Roman" w:eastAsia="仿宋_GB2312" w:cs="仿宋_GB2312"/>
                <w:color w:val="333333"/>
                <w:sz w:val="24"/>
                <w:szCs w:val="24"/>
              </w:rPr>
            </w:pPr>
          </w:p>
        </w:tc>
        <w:tc>
          <w:tcPr>
            <w:tcW w:w="1275" w:type="dxa"/>
            <w:vMerge w:val="continue"/>
            <w:tcBorders>
              <w:top w:val="nil"/>
              <w:left w:val="single" w:color="auto" w:sz="4" w:space="0"/>
              <w:bottom w:val="single" w:color="auto" w:sz="4" w:space="0"/>
              <w:right w:val="single" w:color="auto" w:sz="4" w:space="0"/>
            </w:tcBorders>
            <w:shd w:val="clear" w:color="auto" w:fill="auto"/>
            <w:vAlign w:val="center"/>
          </w:tcPr>
          <w:p>
            <w:pPr>
              <w:jc w:val="center"/>
              <w:rPr>
                <w:rFonts w:hint="eastAsia" w:ascii="Times New Roman" w:hAnsi="Times New Roman" w:eastAsia="仿宋_GB2312" w:cs="仿宋_GB2312"/>
                <w:color w:val="333333"/>
                <w:sz w:val="24"/>
                <w:szCs w:val="24"/>
              </w:rPr>
            </w:pPr>
          </w:p>
        </w:tc>
        <w:tc>
          <w:tcPr>
            <w:tcW w:w="2070" w:type="dxa"/>
            <w:tcBorders>
              <w:top w:val="nil"/>
              <w:left w:val="nil"/>
              <w:bottom w:val="single" w:color="auto" w:sz="4" w:space="0"/>
              <w:right w:val="single" w:color="auto"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Times New Roman" w:hAnsi="Times New Roman" w:eastAsia="仿宋_GB2312" w:cs="仿宋_GB2312"/>
                <w:b w:val="0"/>
                <w:bCs w:val="0"/>
                <w:i w:val="0"/>
                <w:iCs w:val="0"/>
                <w:sz w:val="24"/>
                <w:szCs w:val="24"/>
              </w:rPr>
            </w:pPr>
            <w:r>
              <w:rPr>
                <w:rFonts w:hint="eastAsia" w:ascii="Times New Roman" w:hAnsi="Times New Roman" w:eastAsia="仿宋_GB2312" w:cs="仿宋_GB2312"/>
                <w:b w:val="0"/>
                <w:bCs w:val="0"/>
                <w:i w:val="0"/>
                <w:iCs w:val="0"/>
                <w:color w:val="333333"/>
                <w:sz w:val="24"/>
                <w:szCs w:val="24"/>
              </w:rPr>
              <w:t>骗取医疗保障基金支出高于10万元且在50万元以下</w:t>
            </w:r>
          </w:p>
        </w:tc>
        <w:tc>
          <w:tcPr>
            <w:tcW w:w="2460" w:type="dxa"/>
            <w:tcBorders>
              <w:top w:val="nil"/>
              <w:left w:val="nil"/>
              <w:bottom w:val="single" w:color="auto" w:sz="4" w:space="0"/>
              <w:right w:val="single" w:color="auto"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Times New Roman" w:hAnsi="Times New Roman" w:eastAsia="仿宋_GB2312" w:cs="仿宋_GB2312"/>
                <w:b w:val="0"/>
                <w:bCs w:val="0"/>
                <w:i w:val="0"/>
                <w:iCs w:val="0"/>
                <w:sz w:val="24"/>
                <w:szCs w:val="24"/>
              </w:rPr>
            </w:pPr>
            <w:r>
              <w:rPr>
                <w:rFonts w:hint="eastAsia" w:ascii="Times New Roman" w:hAnsi="Times New Roman" w:eastAsia="仿宋_GB2312" w:cs="仿宋_GB2312"/>
                <w:b w:val="0"/>
                <w:bCs w:val="0"/>
                <w:i w:val="0"/>
                <w:iCs w:val="0"/>
                <w:color w:val="333333"/>
                <w:sz w:val="24"/>
                <w:szCs w:val="24"/>
              </w:rPr>
              <w:t>处骗取金额4倍的罚款,经办机构暂停医疗费用联网结算9个月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16" w:hRule="atLeast"/>
          <w:tblCellSpacing w:w="0" w:type="dxa"/>
        </w:trPr>
        <w:tc>
          <w:tcPr>
            <w:tcW w:w="525" w:type="dxa"/>
            <w:vMerge w:val="continue"/>
            <w:tcBorders>
              <w:top w:val="nil"/>
              <w:left w:val="single" w:color="auto" w:sz="4" w:space="0"/>
              <w:bottom w:val="single" w:color="auto" w:sz="4" w:space="0"/>
              <w:right w:val="single" w:color="auto" w:sz="4" w:space="0"/>
            </w:tcBorders>
            <w:shd w:val="clear" w:color="auto" w:fill="auto"/>
            <w:vAlign w:val="center"/>
          </w:tcPr>
          <w:p>
            <w:pPr>
              <w:jc w:val="center"/>
              <w:rPr>
                <w:rFonts w:hint="eastAsia" w:ascii="Times New Roman" w:hAnsi="Times New Roman" w:eastAsia="仿宋_GB2312" w:cs="仿宋_GB2312"/>
                <w:color w:val="333333"/>
                <w:sz w:val="24"/>
                <w:szCs w:val="24"/>
              </w:rPr>
            </w:pPr>
          </w:p>
        </w:tc>
        <w:tc>
          <w:tcPr>
            <w:tcW w:w="2160" w:type="dxa"/>
            <w:vMerge w:val="continue"/>
            <w:tcBorders>
              <w:top w:val="nil"/>
              <w:left w:val="single" w:color="auto" w:sz="4" w:space="0"/>
              <w:bottom w:val="single" w:color="auto" w:sz="4" w:space="0"/>
              <w:right w:val="single" w:color="auto" w:sz="4" w:space="0"/>
            </w:tcBorders>
            <w:shd w:val="clear" w:color="auto" w:fill="auto"/>
            <w:vAlign w:val="center"/>
          </w:tcPr>
          <w:p>
            <w:pPr>
              <w:jc w:val="center"/>
              <w:rPr>
                <w:rFonts w:hint="eastAsia" w:ascii="Times New Roman" w:hAnsi="Times New Roman" w:eastAsia="仿宋_GB2312" w:cs="仿宋_GB2312"/>
                <w:color w:val="333333"/>
                <w:sz w:val="24"/>
                <w:szCs w:val="24"/>
              </w:rPr>
            </w:pPr>
          </w:p>
        </w:tc>
        <w:tc>
          <w:tcPr>
            <w:tcW w:w="930" w:type="dxa"/>
            <w:vMerge w:val="continue"/>
            <w:tcBorders>
              <w:top w:val="nil"/>
              <w:left w:val="single" w:color="auto" w:sz="4" w:space="0"/>
              <w:bottom w:val="single" w:color="auto" w:sz="4" w:space="0"/>
              <w:right w:val="single" w:color="auto" w:sz="4" w:space="0"/>
            </w:tcBorders>
            <w:shd w:val="clear" w:color="auto" w:fill="auto"/>
            <w:vAlign w:val="center"/>
          </w:tcPr>
          <w:p>
            <w:pPr>
              <w:jc w:val="center"/>
              <w:rPr>
                <w:rFonts w:hint="eastAsia" w:ascii="Times New Roman" w:hAnsi="Times New Roman" w:eastAsia="仿宋_GB2312" w:cs="仿宋_GB2312"/>
                <w:color w:val="333333"/>
                <w:sz w:val="24"/>
                <w:szCs w:val="24"/>
              </w:rPr>
            </w:pPr>
          </w:p>
        </w:tc>
        <w:tc>
          <w:tcPr>
            <w:tcW w:w="1275" w:type="dxa"/>
            <w:vMerge w:val="continue"/>
            <w:tcBorders>
              <w:top w:val="nil"/>
              <w:left w:val="single" w:color="auto" w:sz="4" w:space="0"/>
              <w:bottom w:val="single" w:color="auto" w:sz="4" w:space="0"/>
              <w:right w:val="single" w:color="auto" w:sz="4" w:space="0"/>
            </w:tcBorders>
            <w:shd w:val="clear" w:color="auto" w:fill="auto"/>
            <w:vAlign w:val="center"/>
          </w:tcPr>
          <w:p>
            <w:pPr>
              <w:jc w:val="center"/>
              <w:rPr>
                <w:rFonts w:hint="eastAsia" w:ascii="Times New Roman" w:hAnsi="Times New Roman" w:eastAsia="仿宋_GB2312" w:cs="仿宋_GB2312"/>
                <w:color w:val="333333"/>
                <w:sz w:val="24"/>
                <w:szCs w:val="24"/>
              </w:rPr>
            </w:pPr>
          </w:p>
        </w:tc>
        <w:tc>
          <w:tcPr>
            <w:tcW w:w="2070" w:type="dxa"/>
            <w:tcBorders>
              <w:top w:val="nil"/>
              <w:left w:val="nil"/>
              <w:bottom w:val="single" w:color="auto" w:sz="4" w:space="0"/>
              <w:right w:val="single" w:color="auto"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Times New Roman" w:hAnsi="Times New Roman" w:eastAsia="仿宋_GB2312" w:cs="仿宋_GB2312"/>
                <w:b w:val="0"/>
                <w:bCs w:val="0"/>
                <w:i w:val="0"/>
                <w:iCs w:val="0"/>
                <w:sz w:val="24"/>
                <w:szCs w:val="24"/>
              </w:rPr>
            </w:pPr>
            <w:r>
              <w:rPr>
                <w:rFonts w:hint="eastAsia" w:ascii="Times New Roman" w:hAnsi="Times New Roman" w:eastAsia="仿宋_GB2312" w:cs="仿宋_GB2312"/>
                <w:b w:val="0"/>
                <w:bCs w:val="0"/>
                <w:i w:val="0"/>
                <w:iCs w:val="0"/>
                <w:color w:val="333333"/>
                <w:sz w:val="24"/>
                <w:szCs w:val="24"/>
              </w:rPr>
              <w:t>骗取医疗保障基金支出高于50万元的</w:t>
            </w:r>
          </w:p>
        </w:tc>
        <w:tc>
          <w:tcPr>
            <w:tcW w:w="2460" w:type="dxa"/>
            <w:tcBorders>
              <w:top w:val="nil"/>
              <w:left w:val="nil"/>
              <w:bottom w:val="single" w:color="auto" w:sz="4" w:space="0"/>
              <w:right w:val="single" w:color="auto"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Times New Roman" w:hAnsi="Times New Roman" w:eastAsia="仿宋_GB2312" w:cs="仿宋_GB2312"/>
                <w:b w:val="0"/>
                <w:bCs w:val="0"/>
                <w:i w:val="0"/>
                <w:iCs w:val="0"/>
                <w:sz w:val="24"/>
                <w:szCs w:val="24"/>
              </w:rPr>
            </w:pPr>
            <w:r>
              <w:rPr>
                <w:rFonts w:hint="eastAsia" w:ascii="Times New Roman" w:hAnsi="Times New Roman" w:eastAsia="仿宋_GB2312" w:cs="仿宋_GB2312"/>
                <w:b w:val="0"/>
                <w:bCs w:val="0"/>
                <w:i w:val="0"/>
                <w:iCs w:val="0"/>
                <w:color w:val="333333"/>
                <w:sz w:val="24"/>
                <w:szCs w:val="24"/>
              </w:rPr>
              <w:t>处骗取金额5倍的罚款,经办机构暂停医疗费用联网结算12个月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35" w:hRule="atLeast"/>
          <w:tblCellSpacing w:w="0" w:type="dxa"/>
        </w:trPr>
        <w:tc>
          <w:tcPr>
            <w:tcW w:w="525" w:type="dxa"/>
            <w:vMerge w:val="restart"/>
            <w:tcBorders>
              <w:top w:val="nil"/>
              <w:left w:val="single" w:color="auto" w:sz="4" w:space="0"/>
              <w:bottom w:val="single" w:color="auto" w:sz="4" w:space="0"/>
              <w:right w:val="single" w:color="auto"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Times New Roman" w:hAnsi="Times New Roman" w:eastAsia="仿宋_GB2312" w:cs="仿宋_GB2312"/>
                <w:b w:val="0"/>
                <w:bCs w:val="0"/>
                <w:i w:val="0"/>
                <w:iCs w:val="0"/>
                <w:sz w:val="24"/>
                <w:szCs w:val="24"/>
              </w:rPr>
            </w:pPr>
            <w:r>
              <w:rPr>
                <w:rFonts w:hint="eastAsia" w:ascii="Times New Roman" w:hAnsi="Times New Roman" w:eastAsia="仿宋_GB2312" w:cs="仿宋_GB2312"/>
                <w:b w:val="0"/>
                <w:bCs w:val="0"/>
                <w:i w:val="0"/>
                <w:iCs w:val="0"/>
                <w:color w:val="333333"/>
                <w:sz w:val="24"/>
                <w:szCs w:val="24"/>
              </w:rPr>
              <w:t>7</w:t>
            </w:r>
          </w:p>
        </w:tc>
        <w:tc>
          <w:tcPr>
            <w:tcW w:w="2160" w:type="dxa"/>
            <w:vMerge w:val="restart"/>
            <w:tcBorders>
              <w:top w:val="nil"/>
              <w:left w:val="single" w:color="auto" w:sz="4" w:space="0"/>
              <w:bottom w:val="single" w:color="auto" w:sz="4" w:space="0"/>
              <w:right w:val="single" w:color="auto"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Times New Roman" w:hAnsi="Times New Roman" w:eastAsia="仿宋_GB2312" w:cs="仿宋_GB2312"/>
                <w:b w:val="0"/>
                <w:bCs w:val="0"/>
                <w:i w:val="0"/>
                <w:iCs w:val="0"/>
                <w:sz w:val="24"/>
                <w:szCs w:val="24"/>
              </w:rPr>
            </w:pPr>
            <w:r>
              <w:rPr>
                <w:rFonts w:hint="eastAsia" w:ascii="Times New Roman" w:hAnsi="Times New Roman" w:eastAsia="仿宋_GB2312" w:cs="仿宋_GB2312"/>
                <w:b w:val="0"/>
                <w:bCs w:val="0"/>
                <w:i w:val="0"/>
                <w:iCs w:val="0"/>
                <w:color w:val="333333"/>
                <w:sz w:val="24"/>
                <w:szCs w:val="24"/>
              </w:rPr>
              <w:t>采取虚报、隐瞒伪造等手段，骗取医疗救助资金的</w:t>
            </w:r>
          </w:p>
        </w:tc>
        <w:tc>
          <w:tcPr>
            <w:tcW w:w="930" w:type="dxa"/>
            <w:vMerge w:val="restart"/>
            <w:tcBorders>
              <w:top w:val="nil"/>
              <w:left w:val="single" w:color="auto" w:sz="4" w:space="0"/>
              <w:bottom w:val="single" w:color="auto" w:sz="4" w:space="0"/>
              <w:right w:val="single" w:color="auto"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Times New Roman" w:hAnsi="Times New Roman" w:eastAsia="仿宋_GB2312" w:cs="仿宋_GB2312"/>
                <w:b w:val="0"/>
                <w:bCs w:val="0"/>
                <w:i w:val="0"/>
                <w:iCs w:val="0"/>
                <w:sz w:val="24"/>
                <w:szCs w:val="24"/>
              </w:rPr>
            </w:pPr>
            <w:r>
              <w:rPr>
                <w:rFonts w:hint="eastAsia" w:ascii="Times New Roman" w:hAnsi="Times New Roman" w:eastAsia="仿宋_GB2312" w:cs="仿宋_GB2312"/>
                <w:b w:val="0"/>
                <w:bCs w:val="0"/>
                <w:i w:val="0"/>
                <w:iCs w:val="0"/>
                <w:color w:val="333333"/>
                <w:sz w:val="24"/>
                <w:szCs w:val="24"/>
              </w:rPr>
              <w:t>《社会救助暂行办法》第六十八条</w:t>
            </w:r>
          </w:p>
        </w:tc>
        <w:tc>
          <w:tcPr>
            <w:tcW w:w="1275" w:type="dxa"/>
            <w:vMerge w:val="restart"/>
            <w:tcBorders>
              <w:top w:val="nil"/>
              <w:left w:val="single" w:color="auto" w:sz="4" w:space="0"/>
              <w:bottom w:val="single" w:color="auto" w:sz="4" w:space="0"/>
              <w:right w:val="single" w:color="auto"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Times New Roman" w:hAnsi="Times New Roman" w:eastAsia="仿宋_GB2312" w:cs="仿宋_GB2312"/>
                <w:b w:val="0"/>
                <w:bCs w:val="0"/>
                <w:i w:val="0"/>
                <w:iCs w:val="0"/>
                <w:sz w:val="24"/>
                <w:szCs w:val="24"/>
              </w:rPr>
            </w:pPr>
            <w:r>
              <w:rPr>
                <w:rFonts w:hint="eastAsia" w:ascii="Times New Roman" w:hAnsi="Times New Roman" w:eastAsia="仿宋_GB2312" w:cs="仿宋_GB2312"/>
                <w:b w:val="0"/>
                <w:bCs w:val="0"/>
                <w:i w:val="0"/>
                <w:iCs w:val="0"/>
                <w:color w:val="333333"/>
                <w:sz w:val="24"/>
                <w:szCs w:val="24"/>
              </w:rPr>
              <w:t>停止社会救助，责令退回非法获取的救助资金、物资，可以处非法获取的救助款额或者物资价值1倍以上3倍以下的罚款;构成违反治安管理行为的，依法给予治安管理处罚</w:t>
            </w:r>
          </w:p>
        </w:tc>
        <w:tc>
          <w:tcPr>
            <w:tcW w:w="2070" w:type="dxa"/>
            <w:tcBorders>
              <w:top w:val="nil"/>
              <w:left w:val="nil"/>
              <w:bottom w:val="single" w:color="auto" w:sz="4" w:space="0"/>
              <w:right w:val="single" w:color="auto"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Times New Roman" w:hAnsi="Times New Roman" w:eastAsia="仿宋_GB2312" w:cs="仿宋_GB2312"/>
                <w:b w:val="0"/>
                <w:bCs w:val="0"/>
                <w:i w:val="0"/>
                <w:iCs w:val="0"/>
                <w:sz w:val="24"/>
                <w:szCs w:val="24"/>
              </w:rPr>
            </w:pPr>
            <w:r>
              <w:rPr>
                <w:rFonts w:hint="eastAsia" w:ascii="Times New Roman" w:hAnsi="Times New Roman" w:eastAsia="仿宋_GB2312" w:cs="仿宋_GB2312"/>
                <w:b w:val="0"/>
                <w:bCs w:val="0"/>
                <w:i w:val="0"/>
                <w:iCs w:val="0"/>
                <w:color w:val="333333"/>
                <w:sz w:val="24"/>
                <w:szCs w:val="24"/>
              </w:rPr>
              <w:t>骗取医疗救助资金低于6000元的</w:t>
            </w:r>
          </w:p>
        </w:tc>
        <w:tc>
          <w:tcPr>
            <w:tcW w:w="2460" w:type="dxa"/>
            <w:tcBorders>
              <w:top w:val="nil"/>
              <w:left w:val="nil"/>
              <w:bottom w:val="single" w:color="auto" w:sz="4" w:space="0"/>
              <w:right w:val="single" w:color="auto"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Times New Roman" w:hAnsi="Times New Roman" w:eastAsia="仿宋_GB2312" w:cs="仿宋_GB2312"/>
                <w:b w:val="0"/>
                <w:bCs w:val="0"/>
                <w:i w:val="0"/>
                <w:iCs w:val="0"/>
                <w:sz w:val="24"/>
                <w:szCs w:val="24"/>
              </w:rPr>
            </w:pPr>
            <w:r>
              <w:rPr>
                <w:rFonts w:hint="eastAsia" w:ascii="Times New Roman" w:hAnsi="Times New Roman" w:eastAsia="仿宋_GB2312" w:cs="仿宋_GB2312"/>
                <w:b w:val="0"/>
                <w:bCs w:val="0"/>
                <w:i w:val="0"/>
                <w:iCs w:val="0"/>
                <w:color w:val="333333"/>
                <w:sz w:val="24"/>
                <w:szCs w:val="24"/>
              </w:rPr>
              <w:t>处骗取医疗救助资金1倍罚款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101" w:hRule="atLeast"/>
          <w:tblCellSpacing w:w="0" w:type="dxa"/>
        </w:trPr>
        <w:tc>
          <w:tcPr>
            <w:tcW w:w="525" w:type="dxa"/>
            <w:vMerge w:val="continue"/>
            <w:tcBorders>
              <w:top w:val="nil"/>
              <w:left w:val="single" w:color="auto" w:sz="4" w:space="0"/>
              <w:bottom w:val="single" w:color="auto" w:sz="4" w:space="0"/>
              <w:right w:val="single" w:color="auto" w:sz="4" w:space="0"/>
            </w:tcBorders>
            <w:shd w:val="clear" w:color="auto" w:fill="auto"/>
            <w:vAlign w:val="center"/>
          </w:tcPr>
          <w:p>
            <w:pPr>
              <w:jc w:val="center"/>
              <w:rPr>
                <w:rFonts w:hint="eastAsia" w:ascii="Times New Roman" w:hAnsi="Times New Roman" w:eastAsia="仿宋_GB2312" w:cs="仿宋_GB2312"/>
                <w:color w:val="333333"/>
                <w:sz w:val="24"/>
                <w:szCs w:val="24"/>
              </w:rPr>
            </w:pPr>
          </w:p>
        </w:tc>
        <w:tc>
          <w:tcPr>
            <w:tcW w:w="2160" w:type="dxa"/>
            <w:vMerge w:val="continue"/>
            <w:tcBorders>
              <w:top w:val="nil"/>
              <w:left w:val="single" w:color="auto" w:sz="4" w:space="0"/>
              <w:bottom w:val="single" w:color="auto" w:sz="4" w:space="0"/>
              <w:right w:val="single" w:color="auto" w:sz="4" w:space="0"/>
            </w:tcBorders>
            <w:shd w:val="clear" w:color="auto" w:fill="auto"/>
            <w:vAlign w:val="center"/>
          </w:tcPr>
          <w:p>
            <w:pPr>
              <w:jc w:val="center"/>
              <w:rPr>
                <w:rFonts w:hint="eastAsia" w:ascii="Times New Roman" w:hAnsi="Times New Roman" w:eastAsia="仿宋_GB2312" w:cs="仿宋_GB2312"/>
                <w:color w:val="333333"/>
                <w:sz w:val="24"/>
                <w:szCs w:val="24"/>
              </w:rPr>
            </w:pPr>
          </w:p>
        </w:tc>
        <w:tc>
          <w:tcPr>
            <w:tcW w:w="930" w:type="dxa"/>
            <w:vMerge w:val="continue"/>
            <w:tcBorders>
              <w:top w:val="nil"/>
              <w:left w:val="single" w:color="auto" w:sz="4" w:space="0"/>
              <w:bottom w:val="single" w:color="auto" w:sz="4" w:space="0"/>
              <w:right w:val="single" w:color="auto" w:sz="4" w:space="0"/>
            </w:tcBorders>
            <w:shd w:val="clear" w:color="auto" w:fill="auto"/>
            <w:vAlign w:val="center"/>
          </w:tcPr>
          <w:p>
            <w:pPr>
              <w:jc w:val="center"/>
              <w:rPr>
                <w:rFonts w:hint="eastAsia" w:ascii="Times New Roman" w:hAnsi="Times New Roman" w:eastAsia="仿宋_GB2312" w:cs="仿宋_GB2312"/>
                <w:color w:val="333333"/>
                <w:sz w:val="24"/>
                <w:szCs w:val="24"/>
              </w:rPr>
            </w:pPr>
          </w:p>
        </w:tc>
        <w:tc>
          <w:tcPr>
            <w:tcW w:w="1275" w:type="dxa"/>
            <w:vMerge w:val="continue"/>
            <w:tcBorders>
              <w:top w:val="nil"/>
              <w:left w:val="single" w:color="auto" w:sz="4" w:space="0"/>
              <w:bottom w:val="single" w:color="auto" w:sz="4" w:space="0"/>
              <w:right w:val="single" w:color="auto" w:sz="4" w:space="0"/>
            </w:tcBorders>
            <w:shd w:val="clear" w:color="auto" w:fill="auto"/>
            <w:vAlign w:val="center"/>
          </w:tcPr>
          <w:p>
            <w:pPr>
              <w:jc w:val="center"/>
              <w:rPr>
                <w:rFonts w:hint="eastAsia" w:ascii="Times New Roman" w:hAnsi="Times New Roman" w:eastAsia="仿宋_GB2312" w:cs="仿宋_GB2312"/>
                <w:color w:val="333333"/>
                <w:sz w:val="24"/>
                <w:szCs w:val="24"/>
              </w:rPr>
            </w:pPr>
          </w:p>
        </w:tc>
        <w:tc>
          <w:tcPr>
            <w:tcW w:w="2070" w:type="dxa"/>
            <w:tcBorders>
              <w:top w:val="nil"/>
              <w:left w:val="nil"/>
              <w:bottom w:val="single" w:color="auto" w:sz="4" w:space="0"/>
              <w:right w:val="single" w:color="auto"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Times New Roman" w:hAnsi="Times New Roman" w:eastAsia="仿宋_GB2312" w:cs="仿宋_GB2312"/>
                <w:b w:val="0"/>
                <w:bCs w:val="0"/>
                <w:i w:val="0"/>
                <w:iCs w:val="0"/>
                <w:sz w:val="24"/>
                <w:szCs w:val="24"/>
              </w:rPr>
            </w:pPr>
            <w:r>
              <w:rPr>
                <w:rFonts w:hint="eastAsia" w:ascii="Times New Roman" w:hAnsi="Times New Roman" w:eastAsia="仿宋_GB2312" w:cs="仿宋_GB2312"/>
                <w:b w:val="0"/>
                <w:bCs w:val="0"/>
                <w:i w:val="0"/>
                <w:iCs w:val="0"/>
                <w:color w:val="333333"/>
                <w:sz w:val="24"/>
                <w:szCs w:val="24"/>
              </w:rPr>
              <w:t>骗取医疗救助资金6000元以上10万元以下的</w:t>
            </w:r>
          </w:p>
        </w:tc>
        <w:tc>
          <w:tcPr>
            <w:tcW w:w="2460" w:type="dxa"/>
            <w:tcBorders>
              <w:top w:val="nil"/>
              <w:left w:val="nil"/>
              <w:bottom w:val="single" w:color="auto" w:sz="4" w:space="0"/>
              <w:right w:val="single" w:color="auto"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Times New Roman" w:hAnsi="Times New Roman" w:eastAsia="仿宋_GB2312" w:cs="仿宋_GB2312"/>
                <w:b w:val="0"/>
                <w:bCs w:val="0"/>
                <w:i w:val="0"/>
                <w:iCs w:val="0"/>
                <w:sz w:val="24"/>
                <w:szCs w:val="24"/>
              </w:rPr>
            </w:pPr>
            <w:r>
              <w:rPr>
                <w:rFonts w:hint="eastAsia" w:ascii="Times New Roman" w:hAnsi="Times New Roman" w:eastAsia="仿宋_GB2312" w:cs="仿宋_GB2312"/>
                <w:b w:val="0"/>
                <w:bCs w:val="0"/>
                <w:i w:val="0"/>
                <w:iCs w:val="0"/>
                <w:color w:val="333333"/>
                <w:sz w:val="24"/>
                <w:szCs w:val="24"/>
              </w:rPr>
              <w:t>处骗取医疗救助资金2倍罚款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936" w:hRule="atLeast"/>
          <w:tblCellSpacing w:w="0" w:type="dxa"/>
        </w:trPr>
        <w:tc>
          <w:tcPr>
            <w:tcW w:w="525" w:type="dxa"/>
            <w:vMerge w:val="continue"/>
            <w:tcBorders>
              <w:top w:val="nil"/>
              <w:left w:val="single" w:color="auto" w:sz="4" w:space="0"/>
              <w:bottom w:val="single" w:color="auto" w:sz="4" w:space="0"/>
              <w:right w:val="single" w:color="auto" w:sz="4" w:space="0"/>
            </w:tcBorders>
            <w:shd w:val="clear" w:color="auto" w:fill="auto"/>
            <w:vAlign w:val="center"/>
          </w:tcPr>
          <w:p>
            <w:pPr>
              <w:jc w:val="center"/>
              <w:rPr>
                <w:rFonts w:hint="eastAsia" w:ascii="Times New Roman" w:hAnsi="Times New Roman" w:eastAsia="仿宋_GB2312" w:cs="仿宋_GB2312"/>
                <w:color w:val="333333"/>
                <w:sz w:val="24"/>
                <w:szCs w:val="24"/>
              </w:rPr>
            </w:pPr>
          </w:p>
        </w:tc>
        <w:tc>
          <w:tcPr>
            <w:tcW w:w="2160" w:type="dxa"/>
            <w:vMerge w:val="continue"/>
            <w:tcBorders>
              <w:top w:val="nil"/>
              <w:left w:val="single" w:color="auto" w:sz="4" w:space="0"/>
              <w:bottom w:val="single" w:color="auto" w:sz="4" w:space="0"/>
              <w:right w:val="single" w:color="auto" w:sz="4" w:space="0"/>
            </w:tcBorders>
            <w:shd w:val="clear" w:color="auto" w:fill="auto"/>
            <w:vAlign w:val="center"/>
          </w:tcPr>
          <w:p>
            <w:pPr>
              <w:jc w:val="center"/>
              <w:rPr>
                <w:rFonts w:hint="eastAsia" w:ascii="Times New Roman" w:hAnsi="Times New Roman" w:eastAsia="仿宋_GB2312" w:cs="仿宋_GB2312"/>
                <w:color w:val="333333"/>
                <w:sz w:val="24"/>
                <w:szCs w:val="24"/>
              </w:rPr>
            </w:pPr>
          </w:p>
        </w:tc>
        <w:tc>
          <w:tcPr>
            <w:tcW w:w="930" w:type="dxa"/>
            <w:vMerge w:val="continue"/>
            <w:tcBorders>
              <w:top w:val="nil"/>
              <w:left w:val="single" w:color="auto" w:sz="4" w:space="0"/>
              <w:bottom w:val="single" w:color="auto" w:sz="4" w:space="0"/>
              <w:right w:val="single" w:color="auto" w:sz="4" w:space="0"/>
            </w:tcBorders>
            <w:shd w:val="clear" w:color="auto" w:fill="auto"/>
            <w:vAlign w:val="center"/>
          </w:tcPr>
          <w:p>
            <w:pPr>
              <w:jc w:val="center"/>
              <w:rPr>
                <w:rFonts w:hint="eastAsia" w:ascii="Times New Roman" w:hAnsi="Times New Roman" w:eastAsia="仿宋_GB2312" w:cs="仿宋_GB2312"/>
                <w:color w:val="333333"/>
                <w:sz w:val="24"/>
                <w:szCs w:val="24"/>
              </w:rPr>
            </w:pPr>
          </w:p>
        </w:tc>
        <w:tc>
          <w:tcPr>
            <w:tcW w:w="1275" w:type="dxa"/>
            <w:vMerge w:val="continue"/>
            <w:tcBorders>
              <w:top w:val="nil"/>
              <w:left w:val="single" w:color="auto" w:sz="4" w:space="0"/>
              <w:bottom w:val="single" w:color="auto" w:sz="4" w:space="0"/>
              <w:right w:val="single" w:color="auto" w:sz="4" w:space="0"/>
            </w:tcBorders>
            <w:shd w:val="clear" w:color="auto" w:fill="auto"/>
            <w:vAlign w:val="center"/>
          </w:tcPr>
          <w:p>
            <w:pPr>
              <w:jc w:val="center"/>
              <w:rPr>
                <w:rFonts w:hint="eastAsia" w:ascii="Times New Roman" w:hAnsi="Times New Roman" w:eastAsia="仿宋_GB2312" w:cs="仿宋_GB2312"/>
                <w:color w:val="333333"/>
                <w:sz w:val="24"/>
                <w:szCs w:val="24"/>
              </w:rPr>
            </w:pPr>
          </w:p>
        </w:tc>
        <w:tc>
          <w:tcPr>
            <w:tcW w:w="2070" w:type="dxa"/>
            <w:tcBorders>
              <w:top w:val="nil"/>
              <w:left w:val="nil"/>
              <w:bottom w:val="single" w:color="auto" w:sz="4" w:space="0"/>
              <w:right w:val="single" w:color="auto"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Times New Roman" w:hAnsi="Times New Roman" w:eastAsia="仿宋_GB2312" w:cs="仿宋_GB2312"/>
                <w:b w:val="0"/>
                <w:bCs w:val="0"/>
                <w:i w:val="0"/>
                <w:iCs w:val="0"/>
                <w:sz w:val="24"/>
                <w:szCs w:val="24"/>
              </w:rPr>
            </w:pPr>
            <w:r>
              <w:rPr>
                <w:rFonts w:hint="eastAsia" w:ascii="Times New Roman" w:hAnsi="Times New Roman" w:eastAsia="仿宋_GB2312" w:cs="仿宋_GB2312"/>
                <w:b w:val="0"/>
                <w:bCs w:val="0"/>
                <w:i w:val="0"/>
                <w:iCs w:val="0"/>
                <w:color w:val="333333"/>
                <w:sz w:val="24"/>
                <w:szCs w:val="24"/>
              </w:rPr>
              <w:t>骗取医疗救助资金高于10万元的</w:t>
            </w:r>
          </w:p>
        </w:tc>
        <w:tc>
          <w:tcPr>
            <w:tcW w:w="2460" w:type="dxa"/>
            <w:tcBorders>
              <w:top w:val="nil"/>
              <w:left w:val="nil"/>
              <w:bottom w:val="single" w:color="auto" w:sz="4" w:space="0"/>
              <w:right w:val="single" w:color="auto"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Times New Roman" w:hAnsi="Times New Roman" w:eastAsia="仿宋_GB2312" w:cs="仿宋_GB2312"/>
                <w:b w:val="0"/>
                <w:bCs w:val="0"/>
                <w:i w:val="0"/>
                <w:iCs w:val="0"/>
                <w:sz w:val="24"/>
                <w:szCs w:val="24"/>
              </w:rPr>
            </w:pPr>
            <w:r>
              <w:rPr>
                <w:rFonts w:hint="eastAsia" w:ascii="Times New Roman" w:hAnsi="Times New Roman" w:eastAsia="仿宋_GB2312" w:cs="仿宋_GB2312"/>
                <w:b w:val="0"/>
                <w:bCs w:val="0"/>
                <w:i w:val="0"/>
                <w:iCs w:val="0"/>
                <w:color w:val="333333"/>
                <w:sz w:val="24"/>
                <w:szCs w:val="24"/>
              </w:rPr>
              <w:t>处骗取医疗救助资金3倍罚款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75" w:hRule="atLeast"/>
          <w:tblCellSpacing w:w="0" w:type="dxa"/>
        </w:trPr>
        <w:tc>
          <w:tcPr>
            <w:tcW w:w="525" w:type="dxa"/>
            <w:vMerge w:val="restart"/>
            <w:tcBorders>
              <w:top w:val="nil"/>
              <w:left w:val="single" w:color="auto" w:sz="4" w:space="0"/>
              <w:bottom w:val="single" w:color="auto" w:sz="4" w:space="0"/>
              <w:right w:val="single" w:color="auto"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Times New Roman" w:hAnsi="Times New Roman" w:eastAsia="仿宋_GB2312" w:cs="仿宋_GB2312"/>
                <w:b w:val="0"/>
                <w:bCs w:val="0"/>
                <w:i w:val="0"/>
                <w:iCs w:val="0"/>
                <w:sz w:val="24"/>
                <w:szCs w:val="24"/>
              </w:rPr>
            </w:pPr>
            <w:r>
              <w:rPr>
                <w:rFonts w:hint="eastAsia" w:ascii="Times New Roman" w:hAnsi="Times New Roman" w:eastAsia="仿宋_GB2312" w:cs="仿宋_GB2312"/>
                <w:b w:val="0"/>
                <w:bCs w:val="0"/>
                <w:i w:val="0"/>
                <w:iCs w:val="0"/>
                <w:color w:val="333333"/>
                <w:sz w:val="24"/>
                <w:szCs w:val="24"/>
              </w:rPr>
              <w:t>8</w:t>
            </w:r>
          </w:p>
        </w:tc>
        <w:tc>
          <w:tcPr>
            <w:tcW w:w="2160" w:type="dxa"/>
            <w:vMerge w:val="restart"/>
            <w:tcBorders>
              <w:top w:val="nil"/>
              <w:left w:val="single" w:color="auto" w:sz="4" w:space="0"/>
              <w:bottom w:val="single" w:color="auto" w:sz="4" w:space="0"/>
              <w:right w:val="single" w:color="auto"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Times New Roman" w:hAnsi="Times New Roman" w:eastAsia="仿宋_GB2312" w:cs="仿宋_GB2312"/>
                <w:b w:val="0"/>
                <w:bCs w:val="0"/>
                <w:i w:val="0"/>
                <w:iCs w:val="0"/>
                <w:sz w:val="24"/>
                <w:szCs w:val="24"/>
              </w:rPr>
            </w:pPr>
            <w:r>
              <w:rPr>
                <w:rFonts w:hint="eastAsia" w:ascii="Times New Roman" w:hAnsi="Times New Roman" w:eastAsia="仿宋_GB2312" w:cs="仿宋_GB2312"/>
                <w:b w:val="0"/>
                <w:bCs w:val="0"/>
                <w:i w:val="0"/>
                <w:iCs w:val="0"/>
                <w:color w:val="333333"/>
                <w:sz w:val="24"/>
                <w:szCs w:val="24"/>
              </w:rPr>
              <w:t>用人单位不办理医疗保险登记，经责令限期改正，逾期不改正的</w:t>
            </w:r>
          </w:p>
        </w:tc>
        <w:tc>
          <w:tcPr>
            <w:tcW w:w="930" w:type="dxa"/>
            <w:vMerge w:val="restart"/>
            <w:tcBorders>
              <w:top w:val="nil"/>
              <w:left w:val="single" w:color="auto" w:sz="4" w:space="0"/>
              <w:bottom w:val="single" w:color="auto" w:sz="4" w:space="0"/>
              <w:right w:val="single" w:color="auto"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Times New Roman" w:hAnsi="Times New Roman" w:eastAsia="仿宋_GB2312" w:cs="仿宋_GB2312"/>
                <w:b w:val="0"/>
                <w:bCs w:val="0"/>
                <w:i w:val="0"/>
                <w:iCs w:val="0"/>
                <w:sz w:val="24"/>
                <w:szCs w:val="24"/>
              </w:rPr>
            </w:pPr>
            <w:r>
              <w:rPr>
                <w:rFonts w:hint="eastAsia" w:ascii="Times New Roman" w:hAnsi="Times New Roman" w:eastAsia="仿宋_GB2312" w:cs="仿宋_GB2312"/>
                <w:b w:val="0"/>
                <w:bCs w:val="0"/>
                <w:i w:val="0"/>
                <w:iCs w:val="0"/>
                <w:color w:val="333333"/>
                <w:sz w:val="24"/>
                <w:szCs w:val="24"/>
              </w:rPr>
              <w:t>《中华人民共和国社会保险法》第八十四条</w:t>
            </w:r>
          </w:p>
        </w:tc>
        <w:tc>
          <w:tcPr>
            <w:tcW w:w="1275" w:type="dxa"/>
            <w:vMerge w:val="restart"/>
            <w:tcBorders>
              <w:top w:val="nil"/>
              <w:left w:val="single" w:color="auto" w:sz="4" w:space="0"/>
              <w:bottom w:val="single" w:color="auto" w:sz="4" w:space="0"/>
              <w:right w:val="single" w:color="auto"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Times New Roman" w:hAnsi="Times New Roman" w:eastAsia="仿宋_GB2312" w:cs="仿宋_GB2312"/>
                <w:b w:val="0"/>
                <w:bCs w:val="0"/>
                <w:i w:val="0"/>
                <w:iCs w:val="0"/>
                <w:sz w:val="24"/>
                <w:szCs w:val="24"/>
              </w:rPr>
            </w:pPr>
            <w:r>
              <w:rPr>
                <w:rFonts w:hint="eastAsia" w:ascii="Times New Roman" w:hAnsi="Times New Roman" w:eastAsia="仿宋_GB2312" w:cs="仿宋_GB2312"/>
                <w:b w:val="0"/>
                <w:bCs w:val="0"/>
                <w:i w:val="0"/>
                <w:iCs w:val="0"/>
                <w:color w:val="333333"/>
                <w:sz w:val="24"/>
                <w:szCs w:val="24"/>
              </w:rPr>
              <w:t>责令限期改正；逾期不改正的，对用人单位处应缴社会保险费数额一倍以上三倍以下的罚款，对其直接负责的主管人员和其他直接责任人员处五百元以上三千元以下的罚款</w:t>
            </w:r>
          </w:p>
        </w:tc>
        <w:tc>
          <w:tcPr>
            <w:tcW w:w="2070" w:type="dxa"/>
            <w:tcBorders>
              <w:top w:val="nil"/>
              <w:left w:val="nil"/>
              <w:bottom w:val="single" w:color="auto" w:sz="4" w:space="0"/>
              <w:right w:val="single" w:color="auto"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Times New Roman" w:hAnsi="Times New Roman" w:eastAsia="仿宋_GB2312" w:cs="仿宋_GB2312"/>
                <w:b w:val="0"/>
                <w:bCs w:val="0"/>
                <w:i w:val="0"/>
                <w:iCs w:val="0"/>
                <w:sz w:val="24"/>
                <w:szCs w:val="24"/>
              </w:rPr>
            </w:pPr>
            <w:r>
              <w:rPr>
                <w:rFonts w:hint="eastAsia" w:ascii="Times New Roman" w:hAnsi="Times New Roman" w:eastAsia="仿宋_GB2312" w:cs="仿宋_GB2312"/>
                <w:b w:val="0"/>
                <w:bCs w:val="0"/>
                <w:i w:val="0"/>
                <w:iCs w:val="0"/>
                <w:color w:val="333333"/>
                <w:sz w:val="24"/>
                <w:szCs w:val="24"/>
              </w:rPr>
              <w:t>逾期不办理医疗保险登记低于30日的</w:t>
            </w:r>
          </w:p>
        </w:tc>
        <w:tc>
          <w:tcPr>
            <w:tcW w:w="2460" w:type="dxa"/>
            <w:tcBorders>
              <w:top w:val="nil"/>
              <w:left w:val="nil"/>
              <w:bottom w:val="single" w:color="auto" w:sz="4" w:space="0"/>
              <w:right w:val="single" w:color="auto"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Times New Roman" w:hAnsi="Times New Roman" w:eastAsia="仿宋_GB2312" w:cs="仿宋_GB2312"/>
                <w:b w:val="0"/>
                <w:bCs w:val="0"/>
                <w:i w:val="0"/>
                <w:iCs w:val="0"/>
                <w:sz w:val="24"/>
                <w:szCs w:val="24"/>
              </w:rPr>
            </w:pPr>
            <w:r>
              <w:rPr>
                <w:rFonts w:hint="eastAsia" w:ascii="Times New Roman" w:hAnsi="Times New Roman" w:eastAsia="仿宋_GB2312" w:cs="仿宋_GB2312"/>
                <w:b w:val="0"/>
                <w:bCs w:val="0"/>
                <w:i w:val="0"/>
                <w:iCs w:val="0"/>
                <w:color w:val="333333"/>
                <w:sz w:val="24"/>
                <w:szCs w:val="24"/>
              </w:rPr>
              <w:t>处应缴医疗保险费数额1倍罚款，对直接负责的主管人员和其他直接责任人员处500元罚款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971" w:hRule="atLeast"/>
          <w:tblCellSpacing w:w="0" w:type="dxa"/>
        </w:trPr>
        <w:tc>
          <w:tcPr>
            <w:tcW w:w="525" w:type="dxa"/>
            <w:vMerge w:val="continue"/>
            <w:tcBorders>
              <w:top w:val="nil"/>
              <w:left w:val="single" w:color="auto" w:sz="4" w:space="0"/>
              <w:bottom w:val="single" w:color="auto" w:sz="4" w:space="0"/>
              <w:right w:val="single" w:color="auto" w:sz="4" w:space="0"/>
            </w:tcBorders>
            <w:shd w:val="clear" w:color="auto" w:fill="auto"/>
            <w:vAlign w:val="center"/>
          </w:tcPr>
          <w:p>
            <w:pPr>
              <w:jc w:val="center"/>
              <w:rPr>
                <w:rFonts w:hint="eastAsia" w:ascii="Times New Roman" w:hAnsi="Times New Roman" w:eastAsia="仿宋_GB2312" w:cs="仿宋_GB2312"/>
                <w:color w:val="333333"/>
                <w:sz w:val="24"/>
                <w:szCs w:val="24"/>
              </w:rPr>
            </w:pPr>
          </w:p>
        </w:tc>
        <w:tc>
          <w:tcPr>
            <w:tcW w:w="2160" w:type="dxa"/>
            <w:vMerge w:val="continue"/>
            <w:tcBorders>
              <w:top w:val="nil"/>
              <w:left w:val="single" w:color="auto" w:sz="4" w:space="0"/>
              <w:bottom w:val="single" w:color="auto" w:sz="4" w:space="0"/>
              <w:right w:val="single" w:color="auto" w:sz="4" w:space="0"/>
            </w:tcBorders>
            <w:shd w:val="clear" w:color="auto" w:fill="auto"/>
            <w:vAlign w:val="center"/>
          </w:tcPr>
          <w:p>
            <w:pPr>
              <w:jc w:val="center"/>
              <w:rPr>
                <w:rFonts w:hint="eastAsia" w:ascii="Times New Roman" w:hAnsi="Times New Roman" w:eastAsia="仿宋_GB2312" w:cs="仿宋_GB2312"/>
                <w:color w:val="333333"/>
                <w:sz w:val="24"/>
                <w:szCs w:val="24"/>
              </w:rPr>
            </w:pPr>
          </w:p>
        </w:tc>
        <w:tc>
          <w:tcPr>
            <w:tcW w:w="930" w:type="dxa"/>
            <w:vMerge w:val="continue"/>
            <w:tcBorders>
              <w:top w:val="nil"/>
              <w:left w:val="single" w:color="auto" w:sz="4" w:space="0"/>
              <w:bottom w:val="single" w:color="auto" w:sz="4" w:space="0"/>
              <w:right w:val="single" w:color="auto" w:sz="4" w:space="0"/>
            </w:tcBorders>
            <w:shd w:val="clear" w:color="auto" w:fill="auto"/>
            <w:vAlign w:val="center"/>
          </w:tcPr>
          <w:p>
            <w:pPr>
              <w:jc w:val="center"/>
              <w:rPr>
                <w:rFonts w:hint="eastAsia" w:ascii="Times New Roman" w:hAnsi="Times New Roman" w:eastAsia="仿宋_GB2312" w:cs="仿宋_GB2312"/>
                <w:color w:val="333333"/>
                <w:sz w:val="24"/>
                <w:szCs w:val="24"/>
              </w:rPr>
            </w:pPr>
          </w:p>
        </w:tc>
        <w:tc>
          <w:tcPr>
            <w:tcW w:w="1275" w:type="dxa"/>
            <w:vMerge w:val="continue"/>
            <w:tcBorders>
              <w:top w:val="nil"/>
              <w:left w:val="single" w:color="auto" w:sz="4" w:space="0"/>
              <w:bottom w:val="single" w:color="auto" w:sz="4" w:space="0"/>
              <w:right w:val="single" w:color="auto" w:sz="4" w:space="0"/>
            </w:tcBorders>
            <w:shd w:val="clear" w:color="auto" w:fill="auto"/>
            <w:vAlign w:val="center"/>
          </w:tcPr>
          <w:p>
            <w:pPr>
              <w:jc w:val="center"/>
              <w:rPr>
                <w:rFonts w:hint="eastAsia" w:ascii="Times New Roman" w:hAnsi="Times New Roman" w:eastAsia="仿宋_GB2312" w:cs="仿宋_GB2312"/>
                <w:color w:val="333333"/>
                <w:sz w:val="24"/>
                <w:szCs w:val="24"/>
              </w:rPr>
            </w:pPr>
          </w:p>
        </w:tc>
        <w:tc>
          <w:tcPr>
            <w:tcW w:w="2070" w:type="dxa"/>
            <w:tcBorders>
              <w:top w:val="nil"/>
              <w:left w:val="nil"/>
              <w:bottom w:val="single" w:color="auto" w:sz="4" w:space="0"/>
              <w:right w:val="single" w:color="auto"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Times New Roman" w:hAnsi="Times New Roman" w:eastAsia="仿宋_GB2312" w:cs="仿宋_GB2312"/>
                <w:b w:val="0"/>
                <w:bCs w:val="0"/>
                <w:i w:val="0"/>
                <w:iCs w:val="0"/>
                <w:sz w:val="24"/>
                <w:szCs w:val="24"/>
              </w:rPr>
            </w:pPr>
            <w:r>
              <w:rPr>
                <w:rFonts w:hint="eastAsia" w:ascii="Times New Roman" w:hAnsi="Times New Roman" w:eastAsia="仿宋_GB2312" w:cs="仿宋_GB2312"/>
                <w:b w:val="0"/>
                <w:bCs w:val="0"/>
                <w:i w:val="0"/>
                <w:iCs w:val="0"/>
                <w:color w:val="333333"/>
                <w:sz w:val="24"/>
                <w:szCs w:val="24"/>
              </w:rPr>
              <w:t>逾期不办理医疗保险登记30日以上60日以下的</w:t>
            </w:r>
          </w:p>
        </w:tc>
        <w:tc>
          <w:tcPr>
            <w:tcW w:w="2460" w:type="dxa"/>
            <w:tcBorders>
              <w:top w:val="nil"/>
              <w:left w:val="nil"/>
              <w:bottom w:val="single" w:color="auto" w:sz="4" w:space="0"/>
              <w:right w:val="single" w:color="auto"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Times New Roman" w:hAnsi="Times New Roman" w:eastAsia="仿宋_GB2312" w:cs="仿宋_GB2312"/>
                <w:b w:val="0"/>
                <w:bCs w:val="0"/>
                <w:i w:val="0"/>
                <w:iCs w:val="0"/>
                <w:sz w:val="24"/>
                <w:szCs w:val="24"/>
              </w:rPr>
            </w:pPr>
            <w:r>
              <w:rPr>
                <w:rFonts w:hint="eastAsia" w:ascii="Times New Roman" w:hAnsi="Times New Roman" w:eastAsia="仿宋_GB2312" w:cs="仿宋_GB2312"/>
                <w:b w:val="0"/>
                <w:bCs w:val="0"/>
                <w:i w:val="0"/>
                <w:iCs w:val="0"/>
                <w:color w:val="333333"/>
                <w:sz w:val="24"/>
                <w:szCs w:val="24"/>
              </w:rPr>
              <w:t>处应缴医疗保险费数额1.5倍罚款，对直接负责的主管人员和其他直接责任人员处1000元罚款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971" w:hRule="atLeast"/>
          <w:tblCellSpacing w:w="0" w:type="dxa"/>
        </w:trPr>
        <w:tc>
          <w:tcPr>
            <w:tcW w:w="525" w:type="dxa"/>
            <w:vMerge w:val="continue"/>
            <w:tcBorders>
              <w:top w:val="nil"/>
              <w:left w:val="single" w:color="auto" w:sz="4" w:space="0"/>
              <w:bottom w:val="single" w:color="auto" w:sz="4" w:space="0"/>
              <w:right w:val="single" w:color="auto" w:sz="4" w:space="0"/>
            </w:tcBorders>
            <w:shd w:val="clear" w:color="auto" w:fill="auto"/>
            <w:vAlign w:val="center"/>
          </w:tcPr>
          <w:p>
            <w:pPr>
              <w:jc w:val="center"/>
              <w:rPr>
                <w:rFonts w:hint="eastAsia" w:ascii="Times New Roman" w:hAnsi="Times New Roman" w:eastAsia="仿宋_GB2312" w:cs="仿宋_GB2312"/>
                <w:color w:val="333333"/>
                <w:sz w:val="24"/>
                <w:szCs w:val="24"/>
              </w:rPr>
            </w:pPr>
          </w:p>
        </w:tc>
        <w:tc>
          <w:tcPr>
            <w:tcW w:w="2160" w:type="dxa"/>
            <w:vMerge w:val="continue"/>
            <w:tcBorders>
              <w:top w:val="nil"/>
              <w:left w:val="single" w:color="auto" w:sz="4" w:space="0"/>
              <w:bottom w:val="single" w:color="auto" w:sz="4" w:space="0"/>
              <w:right w:val="single" w:color="auto" w:sz="4" w:space="0"/>
            </w:tcBorders>
            <w:shd w:val="clear" w:color="auto" w:fill="auto"/>
            <w:vAlign w:val="center"/>
          </w:tcPr>
          <w:p>
            <w:pPr>
              <w:jc w:val="center"/>
              <w:rPr>
                <w:rFonts w:hint="eastAsia" w:ascii="Times New Roman" w:hAnsi="Times New Roman" w:eastAsia="仿宋_GB2312" w:cs="仿宋_GB2312"/>
                <w:color w:val="333333"/>
                <w:sz w:val="24"/>
                <w:szCs w:val="24"/>
              </w:rPr>
            </w:pPr>
          </w:p>
        </w:tc>
        <w:tc>
          <w:tcPr>
            <w:tcW w:w="930" w:type="dxa"/>
            <w:vMerge w:val="continue"/>
            <w:tcBorders>
              <w:top w:val="nil"/>
              <w:left w:val="single" w:color="auto" w:sz="4" w:space="0"/>
              <w:bottom w:val="single" w:color="auto" w:sz="4" w:space="0"/>
              <w:right w:val="single" w:color="auto" w:sz="4" w:space="0"/>
            </w:tcBorders>
            <w:shd w:val="clear" w:color="auto" w:fill="auto"/>
            <w:vAlign w:val="center"/>
          </w:tcPr>
          <w:p>
            <w:pPr>
              <w:jc w:val="center"/>
              <w:rPr>
                <w:rFonts w:hint="eastAsia" w:ascii="Times New Roman" w:hAnsi="Times New Roman" w:eastAsia="仿宋_GB2312" w:cs="仿宋_GB2312"/>
                <w:color w:val="333333"/>
                <w:sz w:val="24"/>
                <w:szCs w:val="24"/>
              </w:rPr>
            </w:pPr>
          </w:p>
        </w:tc>
        <w:tc>
          <w:tcPr>
            <w:tcW w:w="1275" w:type="dxa"/>
            <w:vMerge w:val="continue"/>
            <w:tcBorders>
              <w:top w:val="nil"/>
              <w:left w:val="single" w:color="auto" w:sz="4" w:space="0"/>
              <w:bottom w:val="single" w:color="auto" w:sz="4" w:space="0"/>
              <w:right w:val="single" w:color="auto" w:sz="4" w:space="0"/>
            </w:tcBorders>
            <w:shd w:val="clear" w:color="auto" w:fill="auto"/>
            <w:vAlign w:val="center"/>
          </w:tcPr>
          <w:p>
            <w:pPr>
              <w:jc w:val="center"/>
              <w:rPr>
                <w:rFonts w:hint="eastAsia" w:ascii="Times New Roman" w:hAnsi="Times New Roman" w:eastAsia="仿宋_GB2312" w:cs="仿宋_GB2312"/>
                <w:color w:val="333333"/>
                <w:sz w:val="24"/>
                <w:szCs w:val="24"/>
              </w:rPr>
            </w:pPr>
          </w:p>
        </w:tc>
        <w:tc>
          <w:tcPr>
            <w:tcW w:w="2070" w:type="dxa"/>
            <w:tcBorders>
              <w:top w:val="nil"/>
              <w:left w:val="nil"/>
              <w:bottom w:val="single" w:color="auto" w:sz="4" w:space="0"/>
              <w:right w:val="single" w:color="auto"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Times New Roman" w:hAnsi="Times New Roman" w:eastAsia="仿宋_GB2312" w:cs="仿宋_GB2312"/>
                <w:b w:val="0"/>
                <w:bCs w:val="0"/>
                <w:i w:val="0"/>
                <w:iCs w:val="0"/>
                <w:sz w:val="24"/>
                <w:szCs w:val="24"/>
              </w:rPr>
            </w:pPr>
            <w:r>
              <w:rPr>
                <w:rFonts w:hint="eastAsia" w:ascii="Times New Roman" w:hAnsi="Times New Roman" w:eastAsia="仿宋_GB2312" w:cs="仿宋_GB2312"/>
                <w:b w:val="0"/>
                <w:bCs w:val="0"/>
                <w:i w:val="0"/>
                <w:iCs w:val="0"/>
                <w:color w:val="333333"/>
                <w:sz w:val="24"/>
                <w:szCs w:val="24"/>
              </w:rPr>
              <w:t>逾期不办理医疗保险登记高于60日且在90日以下的</w:t>
            </w:r>
          </w:p>
        </w:tc>
        <w:tc>
          <w:tcPr>
            <w:tcW w:w="2460" w:type="dxa"/>
            <w:tcBorders>
              <w:top w:val="nil"/>
              <w:left w:val="nil"/>
              <w:bottom w:val="single" w:color="auto" w:sz="4" w:space="0"/>
              <w:right w:val="single" w:color="auto"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Times New Roman" w:hAnsi="Times New Roman" w:eastAsia="仿宋_GB2312" w:cs="仿宋_GB2312"/>
                <w:b w:val="0"/>
                <w:bCs w:val="0"/>
                <w:i w:val="0"/>
                <w:iCs w:val="0"/>
                <w:sz w:val="24"/>
                <w:szCs w:val="24"/>
              </w:rPr>
            </w:pPr>
            <w:r>
              <w:rPr>
                <w:rFonts w:hint="eastAsia" w:ascii="Times New Roman" w:hAnsi="Times New Roman" w:eastAsia="仿宋_GB2312" w:cs="仿宋_GB2312"/>
                <w:b w:val="0"/>
                <w:bCs w:val="0"/>
                <w:i w:val="0"/>
                <w:iCs w:val="0"/>
                <w:color w:val="333333"/>
                <w:sz w:val="24"/>
                <w:szCs w:val="24"/>
              </w:rPr>
              <w:t>处应缴医疗保险费数额2倍罚款，对直接负责的主管人员和其他直接责任人员处2000元罚款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971" w:hRule="atLeast"/>
          <w:tblCellSpacing w:w="0" w:type="dxa"/>
        </w:trPr>
        <w:tc>
          <w:tcPr>
            <w:tcW w:w="525" w:type="dxa"/>
            <w:vMerge w:val="continue"/>
            <w:tcBorders>
              <w:top w:val="nil"/>
              <w:left w:val="single" w:color="auto" w:sz="4" w:space="0"/>
              <w:bottom w:val="single" w:color="auto" w:sz="4" w:space="0"/>
              <w:right w:val="single" w:color="auto" w:sz="4" w:space="0"/>
            </w:tcBorders>
            <w:shd w:val="clear" w:color="auto" w:fill="auto"/>
            <w:vAlign w:val="center"/>
          </w:tcPr>
          <w:p>
            <w:pPr>
              <w:jc w:val="center"/>
              <w:rPr>
                <w:rFonts w:hint="eastAsia" w:ascii="Times New Roman" w:hAnsi="Times New Roman" w:eastAsia="仿宋_GB2312" w:cs="仿宋_GB2312"/>
                <w:color w:val="333333"/>
                <w:sz w:val="24"/>
                <w:szCs w:val="24"/>
              </w:rPr>
            </w:pPr>
          </w:p>
        </w:tc>
        <w:tc>
          <w:tcPr>
            <w:tcW w:w="2160" w:type="dxa"/>
            <w:vMerge w:val="continue"/>
            <w:tcBorders>
              <w:top w:val="nil"/>
              <w:left w:val="single" w:color="auto" w:sz="4" w:space="0"/>
              <w:bottom w:val="single" w:color="auto" w:sz="4" w:space="0"/>
              <w:right w:val="single" w:color="auto" w:sz="4" w:space="0"/>
            </w:tcBorders>
            <w:shd w:val="clear" w:color="auto" w:fill="auto"/>
            <w:vAlign w:val="center"/>
          </w:tcPr>
          <w:p>
            <w:pPr>
              <w:jc w:val="center"/>
              <w:rPr>
                <w:rFonts w:hint="eastAsia" w:ascii="Times New Roman" w:hAnsi="Times New Roman" w:eastAsia="仿宋_GB2312" w:cs="仿宋_GB2312"/>
                <w:color w:val="333333"/>
                <w:sz w:val="24"/>
                <w:szCs w:val="24"/>
              </w:rPr>
            </w:pPr>
          </w:p>
        </w:tc>
        <w:tc>
          <w:tcPr>
            <w:tcW w:w="930" w:type="dxa"/>
            <w:vMerge w:val="continue"/>
            <w:tcBorders>
              <w:top w:val="nil"/>
              <w:left w:val="single" w:color="auto" w:sz="4" w:space="0"/>
              <w:bottom w:val="single" w:color="auto" w:sz="4" w:space="0"/>
              <w:right w:val="single" w:color="auto" w:sz="4" w:space="0"/>
            </w:tcBorders>
            <w:shd w:val="clear" w:color="auto" w:fill="auto"/>
            <w:vAlign w:val="center"/>
          </w:tcPr>
          <w:p>
            <w:pPr>
              <w:jc w:val="center"/>
              <w:rPr>
                <w:rFonts w:hint="eastAsia" w:ascii="Times New Roman" w:hAnsi="Times New Roman" w:eastAsia="仿宋_GB2312" w:cs="仿宋_GB2312"/>
                <w:color w:val="333333"/>
                <w:sz w:val="24"/>
                <w:szCs w:val="24"/>
              </w:rPr>
            </w:pPr>
          </w:p>
        </w:tc>
        <w:tc>
          <w:tcPr>
            <w:tcW w:w="1275" w:type="dxa"/>
            <w:vMerge w:val="continue"/>
            <w:tcBorders>
              <w:top w:val="nil"/>
              <w:left w:val="single" w:color="auto" w:sz="4" w:space="0"/>
              <w:bottom w:val="single" w:color="auto" w:sz="4" w:space="0"/>
              <w:right w:val="single" w:color="auto" w:sz="4" w:space="0"/>
            </w:tcBorders>
            <w:shd w:val="clear" w:color="auto" w:fill="auto"/>
            <w:vAlign w:val="center"/>
          </w:tcPr>
          <w:p>
            <w:pPr>
              <w:jc w:val="center"/>
              <w:rPr>
                <w:rFonts w:hint="eastAsia" w:ascii="Times New Roman" w:hAnsi="Times New Roman" w:eastAsia="仿宋_GB2312" w:cs="仿宋_GB2312"/>
                <w:color w:val="333333"/>
                <w:sz w:val="24"/>
                <w:szCs w:val="24"/>
              </w:rPr>
            </w:pPr>
          </w:p>
        </w:tc>
        <w:tc>
          <w:tcPr>
            <w:tcW w:w="2070" w:type="dxa"/>
            <w:tcBorders>
              <w:top w:val="nil"/>
              <w:left w:val="nil"/>
              <w:bottom w:val="single" w:color="auto" w:sz="4" w:space="0"/>
              <w:right w:val="single" w:color="auto"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Times New Roman" w:hAnsi="Times New Roman" w:eastAsia="仿宋_GB2312" w:cs="仿宋_GB2312"/>
                <w:b w:val="0"/>
                <w:bCs w:val="0"/>
                <w:i w:val="0"/>
                <w:iCs w:val="0"/>
                <w:sz w:val="24"/>
                <w:szCs w:val="24"/>
              </w:rPr>
            </w:pPr>
            <w:r>
              <w:rPr>
                <w:rFonts w:hint="eastAsia" w:ascii="Times New Roman" w:hAnsi="Times New Roman" w:eastAsia="仿宋_GB2312" w:cs="仿宋_GB2312"/>
                <w:b w:val="0"/>
                <w:bCs w:val="0"/>
                <w:i w:val="0"/>
                <w:iCs w:val="0"/>
                <w:color w:val="333333"/>
                <w:sz w:val="24"/>
                <w:szCs w:val="24"/>
              </w:rPr>
              <w:t>逾期不办理医疗保险登记高于90日的</w:t>
            </w:r>
          </w:p>
        </w:tc>
        <w:tc>
          <w:tcPr>
            <w:tcW w:w="2460" w:type="dxa"/>
            <w:tcBorders>
              <w:top w:val="nil"/>
              <w:left w:val="nil"/>
              <w:bottom w:val="single" w:color="auto" w:sz="4" w:space="0"/>
              <w:right w:val="single" w:color="auto"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Times New Roman" w:hAnsi="Times New Roman" w:eastAsia="仿宋_GB2312" w:cs="仿宋_GB2312"/>
                <w:b w:val="0"/>
                <w:bCs w:val="0"/>
                <w:i w:val="0"/>
                <w:iCs w:val="0"/>
                <w:sz w:val="24"/>
                <w:szCs w:val="24"/>
              </w:rPr>
            </w:pPr>
            <w:r>
              <w:rPr>
                <w:rFonts w:hint="eastAsia" w:ascii="Times New Roman" w:hAnsi="Times New Roman" w:eastAsia="仿宋_GB2312" w:cs="仿宋_GB2312"/>
                <w:b w:val="0"/>
                <w:bCs w:val="0"/>
                <w:i w:val="0"/>
                <w:iCs w:val="0"/>
                <w:color w:val="333333"/>
                <w:sz w:val="24"/>
                <w:szCs w:val="24"/>
              </w:rPr>
              <w:t>处应缴医疗保险费数额3倍罚款，对直接负责的主管人员和其他直接责任人员处3000元罚款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830" w:hRule="atLeast"/>
          <w:tblCellSpacing w:w="0" w:type="dxa"/>
        </w:trPr>
        <w:tc>
          <w:tcPr>
            <w:tcW w:w="525" w:type="dxa"/>
            <w:vMerge w:val="restart"/>
            <w:tcBorders>
              <w:top w:val="nil"/>
              <w:left w:val="single" w:color="auto" w:sz="4" w:space="0"/>
              <w:bottom w:val="single" w:color="auto" w:sz="4" w:space="0"/>
              <w:right w:val="single" w:color="auto"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Times New Roman" w:hAnsi="Times New Roman" w:eastAsia="仿宋_GB2312" w:cs="仿宋_GB2312"/>
                <w:b w:val="0"/>
                <w:bCs w:val="0"/>
                <w:i w:val="0"/>
                <w:iCs w:val="0"/>
                <w:sz w:val="24"/>
                <w:szCs w:val="24"/>
              </w:rPr>
            </w:pPr>
            <w:r>
              <w:rPr>
                <w:rFonts w:hint="eastAsia" w:ascii="Times New Roman" w:hAnsi="Times New Roman" w:eastAsia="仿宋_GB2312" w:cs="仿宋_GB2312"/>
                <w:b w:val="0"/>
                <w:bCs w:val="0"/>
                <w:i w:val="0"/>
                <w:iCs w:val="0"/>
                <w:color w:val="333333"/>
                <w:sz w:val="24"/>
                <w:szCs w:val="24"/>
              </w:rPr>
              <w:t>9</w:t>
            </w:r>
          </w:p>
        </w:tc>
        <w:tc>
          <w:tcPr>
            <w:tcW w:w="2160" w:type="dxa"/>
            <w:vMerge w:val="restart"/>
            <w:tcBorders>
              <w:top w:val="nil"/>
              <w:left w:val="single" w:color="auto" w:sz="4" w:space="0"/>
              <w:bottom w:val="single" w:color="auto" w:sz="4" w:space="0"/>
              <w:right w:val="single" w:color="auto"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Times New Roman" w:hAnsi="Times New Roman" w:eastAsia="仿宋_GB2312" w:cs="仿宋_GB2312"/>
                <w:b w:val="0"/>
                <w:bCs w:val="0"/>
                <w:i w:val="0"/>
                <w:iCs w:val="0"/>
                <w:sz w:val="24"/>
                <w:szCs w:val="24"/>
              </w:rPr>
            </w:pPr>
            <w:r>
              <w:rPr>
                <w:rFonts w:hint="eastAsia" w:ascii="Times New Roman" w:hAnsi="Times New Roman" w:eastAsia="仿宋_GB2312" w:cs="仿宋_GB2312"/>
                <w:b w:val="0"/>
                <w:bCs w:val="0"/>
                <w:i w:val="0"/>
                <w:iCs w:val="0"/>
                <w:color w:val="333333"/>
                <w:sz w:val="24"/>
                <w:szCs w:val="24"/>
              </w:rPr>
              <w:t>定点医药机构以外的单位或者个人，协助他人以欺诈、伪造证明材料或者其他手段骗取基本医疗保险待遇的</w:t>
            </w:r>
          </w:p>
        </w:tc>
        <w:tc>
          <w:tcPr>
            <w:tcW w:w="930" w:type="dxa"/>
            <w:vMerge w:val="restart"/>
            <w:tcBorders>
              <w:top w:val="nil"/>
              <w:left w:val="single" w:color="auto" w:sz="4" w:space="0"/>
              <w:bottom w:val="single" w:color="auto" w:sz="4" w:space="0"/>
              <w:right w:val="single" w:color="auto"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Times New Roman" w:hAnsi="Times New Roman" w:eastAsia="仿宋_GB2312" w:cs="仿宋_GB2312"/>
                <w:b w:val="0"/>
                <w:bCs w:val="0"/>
                <w:i w:val="0"/>
                <w:iCs w:val="0"/>
                <w:sz w:val="24"/>
                <w:szCs w:val="24"/>
              </w:rPr>
            </w:pPr>
            <w:r>
              <w:rPr>
                <w:rFonts w:hint="eastAsia" w:ascii="Times New Roman" w:hAnsi="Times New Roman" w:eastAsia="仿宋_GB2312" w:cs="仿宋_GB2312"/>
                <w:b w:val="0"/>
                <w:bCs w:val="0"/>
                <w:i w:val="0"/>
                <w:iCs w:val="0"/>
                <w:color w:val="333333"/>
                <w:sz w:val="24"/>
                <w:szCs w:val="24"/>
              </w:rPr>
              <w:t>《浙江省医疗保障条例》第五十五条</w:t>
            </w:r>
          </w:p>
        </w:tc>
        <w:tc>
          <w:tcPr>
            <w:tcW w:w="1275" w:type="dxa"/>
            <w:vMerge w:val="restart"/>
            <w:tcBorders>
              <w:top w:val="nil"/>
              <w:left w:val="single" w:color="auto" w:sz="4" w:space="0"/>
              <w:bottom w:val="single" w:color="auto" w:sz="4" w:space="0"/>
              <w:right w:val="single" w:color="auto"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Times New Roman" w:hAnsi="Times New Roman" w:eastAsia="仿宋_GB2312" w:cs="仿宋_GB2312"/>
                <w:b w:val="0"/>
                <w:bCs w:val="0"/>
                <w:i w:val="0"/>
                <w:iCs w:val="0"/>
                <w:sz w:val="24"/>
                <w:szCs w:val="24"/>
              </w:rPr>
            </w:pPr>
            <w:r>
              <w:rPr>
                <w:rFonts w:hint="eastAsia" w:ascii="Times New Roman" w:hAnsi="Times New Roman" w:eastAsia="仿宋_GB2312" w:cs="仿宋_GB2312"/>
                <w:b w:val="0"/>
                <w:bCs w:val="0"/>
                <w:i w:val="0"/>
                <w:iCs w:val="0"/>
                <w:color w:val="333333"/>
                <w:sz w:val="24"/>
                <w:szCs w:val="24"/>
              </w:rPr>
              <w:t>责令改正，对单位处骗取金额一倍以上三倍以下罚款，对个人处一千元以上一万元一下罚款</w:t>
            </w:r>
          </w:p>
        </w:tc>
        <w:tc>
          <w:tcPr>
            <w:tcW w:w="2070" w:type="dxa"/>
            <w:tcBorders>
              <w:top w:val="nil"/>
              <w:left w:val="nil"/>
              <w:bottom w:val="single" w:color="auto" w:sz="4" w:space="0"/>
              <w:right w:val="single" w:color="auto"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Times New Roman" w:hAnsi="Times New Roman" w:eastAsia="仿宋_GB2312" w:cs="仿宋_GB2312"/>
                <w:b w:val="0"/>
                <w:bCs w:val="0"/>
                <w:i w:val="0"/>
                <w:iCs w:val="0"/>
                <w:sz w:val="24"/>
                <w:szCs w:val="24"/>
              </w:rPr>
            </w:pPr>
            <w:r>
              <w:rPr>
                <w:rFonts w:hint="eastAsia" w:ascii="Times New Roman" w:hAnsi="Times New Roman" w:eastAsia="仿宋_GB2312" w:cs="仿宋_GB2312"/>
                <w:b w:val="0"/>
                <w:bCs w:val="0"/>
                <w:i w:val="0"/>
                <w:iCs w:val="0"/>
                <w:color w:val="333333"/>
                <w:sz w:val="24"/>
                <w:szCs w:val="24"/>
              </w:rPr>
              <w:t>骗取医疗保障基金支出低于6000元的</w:t>
            </w:r>
          </w:p>
        </w:tc>
        <w:tc>
          <w:tcPr>
            <w:tcW w:w="2460" w:type="dxa"/>
            <w:tcBorders>
              <w:top w:val="nil"/>
              <w:left w:val="nil"/>
              <w:bottom w:val="single" w:color="auto" w:sz="4" w:space="0"/>
              <w:right w:val="single" w:color="auto"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Times New Roman" w:hAnsi="Times New Roman" w:eastAsia="仿宋_GB2312" w:cs="仿宋_GB2312"/>
                <w:b w:val="0"/>
                <w:bCs w:val="0"/>
                <w:i w:val="0"/>
                <w:iCs w:val="0"/>
                <w:sz w:val="24"/>
                <w:szCs w:val="24"/>
              </w:rPr>
            </w:pPr>
            <w:r>
              <w:rPr>
                <w:rFonts w:hint="eastAsia" w:ascii="Times New Roman" w:hAnsi="Times New Roman" w:eastAsia="仿宋_GB2312" w:cs="仿宋_GB2312"/>
                <w:b w:val="0"/>
                <w:bCs w:val="0"/>
                <w:i w:val="0"/>
                <w:iCs w:val="0"/>
                <w:color w:val="333333"/>
                <w:sz w:val="24"/>
                <w:szCs w:val="24"/>
              </w:rPr>
              <w:t>对单位处骗取金额1倍罚款；对个人处1000元罚款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91" w:hRule="atLeast"/>
          <w:tblCellSpacing w:w="0" w:type="dxa"/>
        </w:trPr>
        <w:tc>
          <w:tcPr>
            <w:tcW w:w="525" w:type="dxa"/>
            <w:vMerge w:val="continue"/>
            <w:tcBorders>
              <w:top w:val="nil"/>
              <w:left w:val="single" w:color="auto" w:sz="4" w:space="0"/>
              <w:bottom w:val="single" w:color="auto" w:sz="4" w:space="0"/>
              <w:right w:val="single" w:color="auto" w:sz="4" w:space="0"/>
            </w:tcBorders>
            <w:shd w:val="clear" w:color="auto" w:fill="auto"/>
            <w:vAlign w:val="center"/>
          </w:tcPr>
          <w:p>
            <w:pPr>
              <w:jc w:val="center"/>
              <w:rPr>
                <w:rFonts w:hint="eastAsia" w:ascii="Times New Roman" w:hAnsi="Times New Roman" w:eastAsia="仿宋_GB2312" w:cs="仿宋_GB2312"/>
                <w:color w:val="333333"/>
                <w:sz w:val="24"/>
                <w:szCs w:val="24"/>
              </w:rPr>
            </w:pPr>
          </w:p>
        </w:tc>
        <w:tc>
          <w:tcPr>
            <w:tcW w:w="2160" w:type="dxa"/>
            <w:vMerge w:val="continue"/>
            <w:tcBorders>
              <w:top w:val="nil"/>
              <w:left w:val="single" w:color="auto" w:sz="4" w:space="0"/>
              <w:bottom w:val="single" w:color="auto" w:sz="4" w:space="0"/>
              <w:right w:val="single" w:color="auto" w:sz="4" w:space="0"/>
            </w:tcBorders>
            <w:shd w:val="clear" w:color="auto" w:fill="auto"/>
            <w:vAlign w:val="center"/>
          </w:tcPr>
          <w:p>
            <w:pPr>
              <w:jc w:val="center"/>
              <w:rPr>
                <w:rFonts w:hint="eastAsia" w:ascii="Times New Roman" w:hAnsi="Times New Roman" w:eastAsia="仿宋_GB2312" w:cs="仿宋_GB2312"/>
                <w:color w:val="333333"/>
                <w:sz w:val="24"/>
                <w:szCs w:val="24"/>
              </w:rPr>
            </w:pPr>
          </w:p>
        </w:tc>
        <w:tc>
          <w:tcPr>
            <w:tcW w:w="930" w:type="dxa"/>
            <w:vMerge w:val="continue"/>
            <w:tcBorders>
              <w:top w:val="nil"/>
              <w:left w:val="single" w:color="auto" w:sz="4" w:space="0"/>
              <w:bottom w:val="single" w:color="auto" w:sz="4" w:space="0"/>
              <w:right w:val="single" w:color="auto" w:sz="4" w:space="0"/>
            </w:tcBorders>
            <w:shd w:val="clear" w:color="auto" w:fill="auto"/>
            <w:vAlign w:val="center"/>
          </w:tcPr>
          <w:p>
            <w:pPr>
              <w:jc w:val="center"/>
              <w:rPr>
                <w:rFonts w:hint="eastAsia" w:ascii="Times New Roman" w:hAnsi="Times New Roman" w:eastAsia="仿宋_GB2312" w:cs="仿宋_GB2312"/>
                <w:color w:val="333333"/>
                <w:sz w:val="24"/>
                <w:szCs w:val="24"/>
              </w:rPr>
            </w:pPr>
          </w:p>
        </w:tc>
        <w:tc>
          <w:tcPr>
            <w:tcW w:w="1275" w:type="dxa"/>
            <w:vMerge w:val="continue"/>
            <w:tcBorders>
              <w:top w:val="nil"/>
              <w:left w:val="single" w:color="auto" w:sz="4" w:space="0"/>
              <w:bottom w:val="single" w:color="auto" w:sz="4" w:space="0"/>
              <w:right w:val="single" w:color="auto" w:sz="4" w:space="0"/>
            </w:tcBorders>
            <w:shd w:val="clear" w:color="auto" w:fill="auto"/>
            <w:vAlign w:val="center"/>
          </w:tcPr>
          <w:p>
            <w:pPr>
              <w:jc w:val="center"/>
              <w:rPr>
                <w:rFonts w:hint="eastAsia" w:ascii="Times New Roman" w:hAnsi="Times New Roman" w:eastAsia="仿宋_GB2312" w:cs="仿宋_GB2312"/>
                <w:color w:val="333333"/>
                <w:sz w:val="24"/>
                <w:szCs w:val="24"/>
              </w:rPr>
            </w:pPr>
          </w:p>
        </w:tc>
        <w:tc>
          <w:tcPr>
            <w:tcW w:w="2070" w:type="dxa"/>
            <w:tcBorders>
              <w:top w:val="nil"/>
              <w:left w:val="nil"/>
              <w:bottom w:val="single" w:color="auto" w:sz="4" w:space="0"/>
              <w:right w:val="single" w:color="auto"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Times New Roman" w:hAnsi="Times New Roman" w:eastAsia="仿宋_GB2312" w:cs="仿宋_GB2312"/>
                <w:b w:val="0"/>
                <w:bCs w:val="0"/>
                <w:i w:val="0"/>
                <w:iCs w:val="0"/>
                <w:sz w:val="24"/>
                <w:szCs w:val="24"/>
              </w:rPr>
            </w:pPr>
            <w:r>
              <w:rPr>
                <w:rFonts w:hint="eastAsia" w:ascii="Times New Roman" w:hAnsi="Times New Roman" w:eastAsia="仿宋_GB2312" w:cs="仿宋_GB2312"/>
                <w:b w:val="0"/>
                <w:bCs w:val="0"/>
                <w:i w:val="0"/>
                <w:iCs w:val="0"/>
                <w:color w:val="333333"/>
                <w:sz w:val="24"/>
                <w:szCs w:val="24"/>
              </w:rPr>
              <w:t>骗取医疗保障基金支出6000元以上10万元以下的</w:t>
            </w:r>
          </w:p>
        </w:tc>
        <w:tc>
          <w:tcPr>
            <w:tcW w:w="2460" w:type="dxa"/>
            <w:tcBorders>
              <w:top w:val="nil"/>
              <w:left w:val="nil"/>
              <w:bottom w:val="single" w:color="auto" w:sz="4" w:space="0"/>
              <w:right w:val="single" w:color="auto"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Times New Roman" w:hAnsi="Times New Roman" w:eastAsia="仿宋_GB2312" w:cs="仿宋_GB2312"/>
                <w:b w:val="0"/>
                <w:bCs w:val="0"/>
                <w:i w:val="0"/>
                <w:iCs w:val="0"/>
                <w:sz w:val="24"/>
                <w:szCs w:val="24"/>
              </w:rPr>
            </w:pPr>
            <w:r>
              <w:rPr>
                <w:rFonts w:hint="eastAsia" w:ascii="Times New Roman" w:hAnsi="Times New Roman" w:eastAsia="仿宋_GB2312" w:cs="仿宋_GB2312"/>
                <w:b w:val="0"/>
                <w:bCs w:val="0"/>
                <w:i w:val="0"/>
                <w:iCs w:val="0"/>
                <w:color w:val="333333"/>
                <w:sz w:val="24"/>
                <w:szCs w:val="24"/>
              </w:rPr>
              <w:t>对单位处骗取金额1.5倍罚款；对个人处3000元罚款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11" w:hRule="atLeast"/>
          <w:tblCellSpacing w:w="0" w:type="dxa"/>
        </w:trPr>
        <w:tc>
          <w:tcPr>
            <w:tcW w:w="525" w:type="dxa"/>
            <w:vMerge w:val="continue"/>
            <w:tcBorders>
              <w:top w:val="nil"/>
              <w:left w:val="single" w:color="auto" w:sz="4" w:space="0"/>
              <w:bottom w:val="single" w:color="auto" w:sz="4" w:space="0"/>
              <w:right w:val="single" w:color="auto" w:sz="4" w:space="0"/>
            </w:tcBorders>
            <w:shd w:val="clear" w:color="auto" w:fill="auto"/>
            <w:vAlign w:val="center"/>
          </w:tcPr>
          <w:p>
            <w:pPr>
              <w:jc w:val="center"/>
              <w:rPr>
                <w:rFonts w:hint="eastAsia" w:ascii="Times New Roman" w:hAnsi="Times New Roman" w:eastAsia="仿宋_GB2312" w:cs="仿宋_GB2312"/>
                <w:color w:val="333333"/>
                <w:sz w:val="24"/>
                <w:szCs w:val="24"/>
              </w:rPr>
            </w:pPr>
          </w:p>
        </w:tc>
        <w:tc>
          <w:tcPr>
            <w:tcW w:w="2160" w:type="dxa"/>
            <w:vMerge w:val="continue"/>
            <w:tcBorders>
              <w:top w:val="nil"/>
              <w:left w:val="single" w:color="auto" w:sz="4" w:space="0"/>
              <w:bottom w:val="single" w:color="auto" w:sz="4" w:space="0"/>
              <w:right w:val="single" w:color="auto" w:sz="4" w:space="0"/>
            </w:tcBorders>
            <w:shd w:val="clear" w:color="auto" w:fill="auto"/>
            <w:vAlign w:val="center"/>
          </w:tcPr>
          <w:p>
            <w:pPr>
              <w:jc w:val="center"/>
              <w:rPr>
                <w:rFonts w:hint="eastAsia" w:ascii="Times New Roman" w:hAnsi="Times New Roman" w:eastAsia="仿宋_GB2312" w:cs="仿宋_GB2312"/>
                <w:color w:val="333333"/>
                <w:sz w:val="24"/>
                <w:szCs w:val="24"/>
              </w:rPr>
            </w:pPr>
          </w:p>
        </w:tc>
        <w:tc>
          <w:tcPr>
            <w:tcW w:w="930" w:type="dxa"/>
            <w:vMerge w:val="continue"/>
            <w:tcBorders>
              <w:top w:val="nil"/>
              <w:left w:val="single" w:color="auto" w:sz="4" w:space="0"/>
              <w:bottom w:val="single" w:color="auto" w:sz="4" w:space="0"/>
              <w:right w:val="single" w:color="auto" w:sz="4" w:space="0"/>
            </w:tcBorders>
            <w:shd w:val="clear" w:color="auto" w:fill="auto"/>
            <w:vAlign w:val="center"/>
          </w:tcPr>
          <w:p>
            <w:pPr>
              <w:jc w:val="center"/>
              <w:rPr>
                <w:rFonts w:hint="eastAsia" w:ascii="Times New Roman" w:hAnsi="Times New Roman" w:eastAsia="仿宋_GB2312" w:cs="仿宋_GB2312"/>
                <w:color w:val="333333"/>
                <w:sz w:val="24"/>
                <w:szCs w:val="24"/>
              </w:rPr>
            </w:pPr>
          </w:p>
        </w:tc>
        <w:tc>
          <w:tcPr>
            <w:tcW w:w="1275" w:type="dxa"/>
            <w:vMerge w:val="continue"/>
            <w:tcBorders>
              <w:top w:val="nil"/>
              <w:left w:val="single" w:color="auto" w:sz="4" w:space="0"/>
              <w:bottom w:val="single" w:color="auto" w:sz="4" w:space="0"/>
              <w:right w:val="single" w:color="auto" w:sz="4" w:space="0"/>
            </w:tcBorders>
            <w:shd w:val="clear" w:color="auto" w:fill="auto"/>
            <w:vAlign w:val="center"/>
          </w:tcPr>
          <w:p>
            <w:pPr>
              <w:jc w:val="center"/>
              <w:rPr>
                <w:rFonts w:hint="eastAsia" w:ascii="Times New Roman" w:hAnsi="Times New Roman" w:eastAsia="仿宋_GB2312" w:cs="仿宋_GB2312"/>
                <w:color w:val="333333"/>
                <w:sz w:val="24"/>
                <w:szCs w:val="24"/>
              </w:rPr>
            </w:pPr>
          </w:p>
        </w:tc>
        <w:tc>
          <w:tcPr>
            <w:tcW w:w="2070" w:type="dxa"/>
            <w:tcBorders>
              <w:top w:val="nil"/>
              <w:left w:val="nil"/>
              <w:bottom w:val="single" w:color="auto" w:sz="4" w:space="0"/>
              <w:right w:val="single" w:color="auto"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Times New Roman" w:hAnsi="Times New Roman" w:eastAsia="仿宋_GB2312" w:cs="仿宋_GB2312"/>
                <w:b w:val="0"/>
                <w:bCs w:val="0"/>
                <w:i w:val="0"/>
                <w:iCs w:val="0"/>
                <w:sz w:val="24"/>
                <w:szCs w:val="24"/>
              </w:rPr>
            </w:pPr>
            <w:r>
              <w:rPr>
                <w:rFonts w:hint="eastAsia" w:ascii="Times New Roman" w:hAnsi="Times New Roman" w:eastAsia="仿宋_GB2312" w:cs="仿宋_GB2312"/>
                <w:b w:val="0"/>
                <w:bCs w:val="0"/>
                <w:i w:val="0"/>
                <w:iCs w:val="0"/>
                <w:color w:val="333333"/>
                <w:sz w:val="24"/>
                <w:szCs w:val="24"/>
              </w:rPr>
              <w:t>骗取医疗保障基金支出高于10万元且在50万元以下的</w:t>
            </w:r>
          </w:p>
        </w:tc>
        <w:tc>
          <w:tcPr>
            <w:tcW w:w="2460" w:type="dxa"/>
            <w:tcBorders>
              <w:top w:val="nil"/>
              <w:left w:val="nil"/>
              <w:bottom w:val="single" w:color="auto" w:sz="4" w:space="0"/>
              <w:right w:val="single" w:color="auto"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Times New Roman" w:hAnsi="Times New Roman" w:eastAsia="仿宋_GB2312" w:cs="仿宋_GB2312"/>
                <w:b w:val="0"/>
                <w:bCs w:val="0"/>
                <w:i w:val="0"/>
                <w:iCs w:val="0"/>
                <w:sz w:val="24"/>
                <w:szCs w:val="24"/>
              </w:rPr>
            </w:pPr>
            <w:r>
              <w:rPr>
                <w:rFonts w:hint="eastAsia" w:ascii="Times New Roman" w:hAnsi="Times New Roman" w:eastAsia="仿宋_GB2312" w:cs="仿宋_GB2312"/>
                <w:b w:val="0"/>
                <w:bCs w:val="0"/>
                <w:i w:val="0"/>
                <w:iCs w:val="0"/>
                <w:color w:val="333333"/>
                <w:sz w:val="24"/>
                <w:szCs w:val="24"/>
              </w:rPr>
              <w:t>对单位处骗取金额2倍罚款;对个人处5000元罚款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71" w:hRule="atLeast"/>
          <w:tblCellSpacing w:w="0" w:type="dxa"/>
        </w:trPr>
        <w:tc>
          <w:tcPr>
            <w:tcW w:w="525" w:type="dxa"/>
            <w:vMerge w:val="continue"/>
            <w:tcBorders>
              <w:top w:val="nil"/>
              <w:left w:val="single" w:color="auto" w:sz="4" w:space="0"/>
              <w:bottom w:val="single" w:color="auto" w:sz="4" w:space="0"/>
              <w:right w:val="single" w:color="auto" w:sz="4" w:space="0"/>
            </w:tcBorders>
            <w:shd w:val="clear" w:color="auto" w:fill="auto"/>
            <w:vAlign w:val="center"/>
          </w:tcPr>
          <w:p>
            <w:pPr>
              <w:jc w:val="center"/>
              <w:rPr>
                <w:rFonts w:hint="eastAsia" w:ascii="Times New Roman" w:hAnsi="Times New Roman" w:eastAsia="仿宋_GB2312" w:cs="仿宋_GB2312"/>
                <w:color w:val="333333"/>
                <w:sz w:val="24"/>
                <w:szCs w:val="24"/>
              </w:rPr>
            </w:pPr>
          </w:p>
        </w:tc>
        <w:tc>
          <w:tcPr>
            <w:tcW w:w="2160" w:type="dxa"/>
            <w:vMerge w:val="continue"/>
            <w:tcBorders>
              <w:top w:val="nil"/>
              <w:left w:val="single" w:color="auto" w:sz="4" w:space="0"/>
              <w:bottom w:val="single" w:color="auto" w:sz="4" w:space="0"/>
              <w:right w:val="single" w:color="auto" w:sz="4" w:space="0"/>
            </w:tcBorders>
            <w:shd w:val="clear" w:color="auto" w:fill="auto"/>
            <w:vAlign w:val="center"/>
          </w:tcPr>
          <w:p>
            <w:pPr>
              <w:jc w:val="center"/>
              <w:rPr>
                <w:rFonts w:hint="eastAsia" w:ascii="Times New Roman" w:hAnsi="Times New Roman" w:eastAsia="仿宋_GB2312" w:cs="仿宋_GB2312"/>
                <w:color w:val="333333"/>
                <w:sz w:val="24"/>
                <w:szCs w:val="24"/>
              </w:rPr>
            </w:pPr>
          </w:p>
        </w:tc>
        <w:tc>
          <w:tcPr>
            <w:tcW w:w="930" w:type="dxa"/>
            <w:vMerge w:val="continue"/>
            <w:tcBorders>
              <w:top w:val="nil"/>
              <w:left w:val="single" w:color="auto" w:sz="4" w:space="0"/>
              <w:bottom w:val="single" w:color="auto" w:sz="4" w:space="0"/>
              <w:right w:val="single" w:color="auto" w:sz="4" w:space="0"/>
            </w:tcBorders>
            <w:shd w:val="clear" w:color="auto" w:fill="auto"/>
            <w:vAlign w:val="center"/>
          </w:tcPr>
          <w:p>
            <w:pPr>
              <w:jc w:val="center"/>
              <w:rPr>
                <w:rFonts w:hint="eastAsia" w:ascii="Times New Roman" w:hAnsi="Times New Roman" w:eastAsia="仿宋_GB2312" w:cs="仿宋_GB2312"/>
                <w:color w:val="333333"/>
                <w:sz w:val="24"/>
                <w:szCs w:val="24"/>
              </w:rPr>
            </w:pPr>
          </w:p>
        </w:tc>
        <w:tc>
          <w:tcPr>
            <w:tcW w:w="1275" w:type="dxa"/>
            <w:vMerge w:val="continue"/>
            <w:tcBorders>
              <w:top w:val="nil"/>
              <w:left w:val="single" w:color="auto" w:sz="4" w:space="0"/>
              <w:bottom w:val="single" w:color="auto" w:sz="4" w:space="0"/>
              <w:right w:val="single" w:color="auto" w:sz="4" w:space="0"/>
            </w:tcBorders>
            <w:shd w:val="clear" w:color="auto" w:fill="auto"/>
            <w:vAlign w:val="center"/>
          </w:tcPr>
          <w:p>
            <w:pPr>
              <w:jc w:val="center"/>
              <w:rPr>
                <w:rFonts w:hint="eastAsia" w:ascii="Times New Roman" w:hAnsi="Times New Roman" w:eastAsia="仿宋_GB2312" w:cs="仿宋_GB2312"/>
                <w:color w:val="333333"/>
                <w:sz w:val="24"/>
                <w:szCs w:val="24"/>
              </w:rPr>
            </w:pPr>
          </w:p>
        </w:tc>
        <w:tc>
          <w:tcPr>
            <w:tcW w:w="2070" w:type="dxa"/>
            <w:tcBorders>
              <w:top w:val="nil"/>
              <w:left w:val="nil"/>
              <w:bottom w:val="single" w:color="auto" w:sz="4" w:space="0"/>
              <w:right w:val="single" w:color="auto"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Times New Roman" w:hAnsi="Times New Roman" w:eastAsia="仿宋_GB2312" w:cs="仿宋_GB2312"/>
                <w:b w:val="0"/>
                <w:bCs w:val="0"/>
                <w:i w:val="0"/>
                <w:iCs w:val="0"/>
                <w:sz w:val="24"/>
                <w:szCs w:val="24"/>
              </w:rPr>
            </w:pPr>
            <w:r>
              <w:rPr>
                <w:rFonts w:hint="eastAsia" w:ascii="Times New Roman" w:hAnsi="Times New Roman" w:eastAsia="仿宋_GB2312" w:cs="仿宋_GB2312"/>
                <w:b w:val="0"/>
                <w:bCs w:val="0"/>
                <w:i w:val="0"/>
                <w:iCs w:val="0"/>
                <w:color w:val="333333"/>
                <w:sz w:val="24"/>
                <w:szCs w:val="24"/>
              </w:rPr>
              <w:t>骗取医疗保障基金支出高于50万元的</w:t>
            </w:r>
          </w:p>
        </w:tc>
        <w:tc>
          <w:tcPr>
            <w:tcW w:w="2460" w:type="dxa"/>
            <w:tcBorders>
              <w:top w:val="nil"/>
              <w:left w:val="nil"/>
              <w:bottom w:val="single" w:color="auto" w:sz="4" w:space="0"/>
              <w:right w:val="single" w:color="auto"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Times New Roman" w:hAnsi="Times New Roman" w:eastAsia="仿宋_GB2312" w:cs="仿宋_GB2312"/>
                <w:b w:val="0"/>
                <w:bCs w:val="0"/>
                <w:i w:val="0"/>
                <w:iCs w:val="0"/>
                <w:sz w:val="24"/>
                <w:szCs w:val="24"/>
              </w:rPr>
            </w:pPr>
            <w:r>
              <w:rPr>
                <w:rFonts w:hint="eastAsia" w:ascii="Times New Roman" w:hAnsi="Times New Roman" w:eastAsia="仿宋_GB2312" w:cs="仿宋_GB2312"/>
                <w:b w:val="0"/>
                <w:bCs w:val="0"/>
                <w:i w:val="0"/>
                <w:iCs w:val="0"/>
                <w:color w:val="333333"/>
                <w:sz w:val="24"/>
                <w:szCs w:val="24"/>
              </w:rPr>
              <w:t>对单位处骗取金额3倍罚款；对个人处10000元罚款</w:t>
            </w:r>
          </w:p>
        </w:tc>
      </w:tr>
    </w:tbl>
    <w:p>
      <w:pPr>
        <w:rPr>
          <w:rFonts w:hint="eastAsia" w:ascii="Times New Roman" w:hAnsi="Times New Roman" w:eastAsia="仿宋_GB2312" w:cs="仿宋_GB2312"/>
          <w:b w:val="0"/>
          <w:bCs w:val="0"/>
          <w:i w:val="0"/>
          <w:iCs w:val="0"/>
          <w:caps w:val="0"/>
          <w:color w:val="333333"/>
          <w:spacing w:val="0"/>
          <w:kern w:val="0"/>
          <w:sz w:val="32"/>
          <w:szCs w:val="32"/>
          <w:lang w:val="en-US" w:eastAsia="zh-CN" w:bidi="ar"/>
        </w:rPr>
      </w:pPr>
    </w:p>
    <w:p>
      <w:pPr>
        <w:rPr>
          <w:rFonts w:hint="eastAsia" w:ascii="Times New Roman" w:hAnsi="Times New Roman" w:eastAsia="仿宋_GB2312" w:cs="仿宋_GB2312"/>
          <w:b w:val="0"/>
          <w:bCs w:val="0"/>
          <w:i w:val="0"/>
          <w:iCs w:val="0"/>
          <w:caps w:val="0"/>
          <w:color w:val="333333"/>
          <w:spacing w:val="0"/>
          <w:kern w:val="0"/>
          <w:sz w:val="32"/>
          <w:szCs w:val="32"/>
          <w:lang w:val="en-US" w:eastAsia="zh-CN" w:bidi="ar"/>
        </w:rPr>
      </w:pPr>
    </w:p>
    <w:p>
      <w:pPr>
        <w:rPr>
          <w:rFonts w:hint="eastAsia" w:ascii="Times New Roman" w:hAnsi="Times New Roman" w:eastAsia="仿宋_GB2312" w:cs="仿宋_GB2312"/>
          <w:b w:val="0"/>
          <w:bCs w:val="0"/>
          <w:i w:val="0"/>
          <w:iCs w:val="0"/>
          <w:caps w:val="0"/>
          <w:color w:val="333333"/>
          <w:spacing w:val="0"/>
          <w:kern w:val="0"/>
          <w:sz w:val="32"/>
          <w:szCs w:val="32"/>
          <w:lang w:val="en-US" w:eastAsia="zh-CN" w:bidi="ar"/>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k0Y2U4NGEzNDY2ZWU3ZmZhMmM5MGU3OWRlNDkyNDAifQ=="/>
    <w:docVar w:name="KSO_WPS_MARK_KEY" w:val="8ee36deb-5d22-4c29-ae3a-e4dfc8cfe929"/>
  </w:docVars>
  <w:rsids>
    <w:rsidRoot w:val="00000000"/>
    <w:rsid w:val="2FDA26D7"/>
    <w:rsid w:val="514B6FDA"/>
    <w:rsid w:val="61C1110B"/>
    <w:rsid w:val="674B65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15</Pages>
  <Words>6430</Words>
  <Characters>6541</Characters>
  <Lines>0</Lines>
  <Paragraphs>0</Paragraphs>
  <TotalTime>165</TotalTime>
  <ScaleCrop>false</ScaleCrop>
  <LinksUpToDate>false</LinksUpToDate>
  <CharactersWithSpaces>6581</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2023-06-12T01:02:00Z</dcterms:created>
  <dc:creator>Administrator.SKY-20221207TVL</dc:creator>
  <cp:lastModifiedBy>WPS_1520314020</cp:lastModifiedBy>
  <dcterms:modified xsi:type="dcterms:W3CDTF">2024-03-11T00:38:05Z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A34C72E0D5B64EAEB7850195B3C71DB8_13</vt:lpwstr>
  </property>
</Properties>
</file>