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36"/>
          <w:szCs w:val="36"/>
          <w:shd w:val="clear" w:fill="FFFFFF"/>
        </w:rPr>
        <w:t>救济途径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  <w:t>      （一）当事人享有的权利：听证权利、陈述申辩权利、行政复议权利、行政诉讼权利、国家赔偿权利。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  <w:t>      （二）救济途径：向作出具体行政行为的行政执法部门申请进行听证、陈述申辩；向县人民政府法制机构提出行政复议；向被告所在地人民法院提出行政诉讼和国家赔偿。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A1B8A"/>
    <w:rsid w:val="16D638D2"/>
    <w:rsid w:val="5F812FDF"/>
    <w:rsid w:val="6851381F"/>
    <w:rsid w:val="722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2020-11-04T03:19:00Z</dcterms:created>
  <dc:creator>Administrator</dc:creator>
  <cp:lastModifiedBy>Administrator</cp:lastModifiedBy>
  <dcterms:modified xsi:type="dcterms:W3CDTF">2022-02-23T07:08:29Z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FE3BF50C6B2A4B93A70349BEC5BC7EAB</vt:lpwstr>
  </property>
</Properties>
</file>