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6C" w:rsidRDefault="0074776C" w:rsidP="0074776C">
      <w:pPr>
        <w:spacing w:line="240" w:lineRule="auto"/>
        <w:ind w:firstLine="31680"/>
        <w:jc w:val="right"/>
        <w:rPr>
          <w:rFonts w:ascii="仿宋_GB2312"/>
          <w:sz w:val="30"/>
          <w:szCs w:val="30"/>
        </w:rPr>
      </w:pPr>
      <w:r>
        <w:rPr>
          <w:rFonts w:ascii="楷体_GB2312" w:eastAsia="楷体_GB2312" w:hAnsi="Calibri" w:cs="楷体_GB2312"/>
          <w:color w:val="000000"/>
          <w:shd w:val="clear" w:color="auto" w:fill="FFFFFF"/>
        </w:rPr>
        <w:t>HKHD00-2022-0003</w:t>
      </w:r>
    </w:p>
    <w:p w:rsidR="0074776C" w:rsidRDefault="0074776C" w:rsidP="00BA0F9F">
      <w:pPr>
        <w:spacing w:line="240" w:lineRule="auto"/>
        <w:ind w:firstLine="31680"/>
        <w:jc w:val="right"/>
        <w:rPr>
          <w:rFonts w:ascii="仿宋_GB2312"/>
          <w:sz w:val="72"/>
          <w:szCs w:val="72"/>
        </w:rPr>
      </w:pPr>
      <w:bookmarkStart w:id="0" w:name="_GoBack"/>
      <w:bookmarkEnd w:id="0"/>
    </w:p>
    <w:p w:rsidR="0074776C" w:rsidRDefault="0074776C">
      <w:pPr>
        <w:spacing w:line="240" w:lineRule="auto"/>
        <w:ind w:firstLineChars="0" w:firstLine="0"/>
        <w:jc w:val="center"/>
        <w:rPr>
          <w:rFonts w:ascii="宋体" w:eastAsia="宋体" w:hAnsi="Calibri"/>
          <w:b/>
          <w:bCs/>
          <w:color w:val="FF0000"/>
          <w:sz w:val="96"/>
          <w:szCs w:val="96"/>
        </w:rPr>
      </w:pPr>
      <w:r>
        <w:rPr>
          <w:rFonts w:ascii="宋体" w:eastAsia="宋体" w:hAnsi="Calibri" w:cs="宋体" w:hint="eastAsia"/>
          <w:b/>
          <w:bCs/>
          <w:color w:val="FF0000"/>
          <w:sz w:val="96"/>
          <w:szCs w:val="96"/>
        </w:rPr>
        <w:t>开化县人民政府文件</w:t>
      </w:r>
    </w:p>
    <w:p w:rsidR="0074776C" w:rsidRDefault="0074776C">
      <w:pPr>
        <w:spacing w:line="800" w:lineRule="exact"/>
        <w:ind w:firstLineChars="0" w:firstLine="0"/>
      </w:pPr>
    </w:p>
    <w:p w:rsidR="0074776C" w:rsidRDefault="0074776C">
      <w:pPr>
        <w:spacing w:line="600" w:lineRule="exact"/>
        <w:ind w:firstLineChars="0" w:firstLine="0"/>
        <w:jc w:val="center"/>
        <w:rPr>
          <w:rFonts w:ascii="仿宋_GB2312"/>
        </w:rPr>
      </w:pPr>
      <w:r>
        <w:rPr>
          <w:rFonts w:ascii="仿宋_GB2312" w:cs="仿宋_GB2312" w:hint="eastAsia"/>
        </w:rPr>
        <w:t>开政发〔</w:t>
      </w:r>
      <w:r>
        <w:rPr>
          <w:rFonts w:ascii="仿宋_GB2312" w:cs="仿宋_GB2312"/>
        </w:rPr>
        <w:t>2022</w:t>
      </w:r>
      <w:r>
        <w:rPr>
          <w:rFonts w:ascii="仿宋_GB2312" w:cs="仿宋_GB2312" w:hint="eastAsia"/>
        </w:rPr>
        <w:t>〕</w:t>
      </w:r>
      <w:r>
        <w:rPr>
          <w:rFonts w:ascii="仿宋_GB2312" w:cs="仿宋_GB2312"/>
        </w:rPr>
        <w:t>6</w:t>
      </w:r>
      <w:r>
        <w:rPr>
          <w:rFonts w:ascii="仿宋_GB2312" w:cs="仿宋_GB2312" w:hint="eastAsia"/>
        </w:rPr>
        <w:t>号</w:t>
      </w:r>
    </w:p>
    <w:p w:rsidR="0074776C" w:rsidRDefault="0074776C" w:rsidP="00BA0F9F">
      <w:pPr>
        <w:spacing w:line="700" w:lineRule="exact"/>
        <w:ind w:firstLine="31680"/>
        <w:jc w:val="center"/>
        <w:rPr>
          <w:rFonts w:ascii="仿宋_GB2312"/>
        </w:rPr>
      </w:pPr>
      <w:r>
        <w:rPr>
          <w:noProof/>
        </w:rPr>
        <w:pict>
          <v:line id="_x0000_s1027" style="position:absolute;left:0;text-align:left;z-index:251658240" from="15.9pt,1.2pt" to="430.65pt,1.2pt" o:allowincell="f" strokecolor="red" strokeweight="2pt"/>
        </w:pict>
      </w:r>
    </w:p>
    <w:p w:rsidR="0074776C" w:rsidRDefault="0074776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C0C0C"/>
          <w:sz w:val="44"/>
          <w:szCs w:val="44"/>
        </w:rPr>
        <w:t>开化县人民政府</w:t>
      </w:r>
    </w:p>
    <w:p w:rsidR="0074776C" w:rsidRDefault="0074776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关于印发《关于进一步加快服务业跨越式高质量发展的政策意见》的通知</w:t>
      </w:r>
    </w:p>
    <w:p w:rsidR="0074776C" w:rsidRDefault="0074776C" w:rsidP="00BA0F9F">
      <w:pPr>
        <w:ind w:firstLine="31680"/>
        <w:jc w:val="center"/>
        <w:rPr>
          <w:rFonts w:eastAsia="方正小标宋简体"/>
          <w:sz w:val="44"/>
          <w:szCs w:val="44"/>
        </w:rPr>
      </w:pPr>
    </w:p>
    <w:p w:rsidR="0074776C" w:rsidRDefault="0074776C">
      <w:pPr>
        <w:ind w:firstLineChars="0" w:firstLine="0"/>
      </w:pPr>
      <w:r>
        <w:rPr>
          <w:rFonts w:cs="仿宋_GB2312" w:hint="eastAsia"/>
        </w:rPr>
        <w:t>各乡镇人民政府，芹阳办事处，县政府各部门、直属各单位：</w:t>
      </w:r>
    </w:p>
    <w:p w:rsidR="0074776C" w:rsidRDefault="0074776C" w:rsidP="00BA0F9F">
      <w:pPr>
        <w:ind w:firstLine="31680"/>
      </w:pPr>
      <w:r>
        <w:rPr>
          <w:rFonts w:cs="仿宋_GB2312" w:hint="eastAsia"/>
        </w:rPr>
        <w:t>现将《关于进一步加快服务业跨越式高质量发展的政策意见》印发给你们，请认真贯彻执行。</w:t>
      </w:r>
    </w:p>
    <w:p w:rsidR="0074776C" w:rsidRDefault="0074776C">
      <w:pPr>
        <w:ind w:firstLineChars="0" w:firstLine="0"/>
      </w:pPr>
    </w:p>
    <w:p w:rsidR="0074776C" w:rsidRDefault="0074776C">
      <w:pPr>
        <w:ind w:firstLineChars="0" w:firstLine="0"/>
      </w:pPr>
    </w:p>
    <w:p w:rsidR="0074776C" w:rsidRPr="00BA0F9F" w:rsidRDefault="0074776C" w:rsidP="00BA0F9F">
      <w:pPr>
        <w:ind w:firstLineChars="0" w:firstLine="0"/>
      </w:pPr>
    </w:p>
    <w:p w:rsidR="0074776C" w:rsidRDefault="0074776C">
      <w:pPr>
        <w:wordWrap w:val="0"/>
        <w:ind w:firstLineChars="0" w:firstLine="0"/>
        <w:jc w:val="right"/>
      </w:pPr>
      <w:r>
        <w:rPr>
          <w:rFonts w:cs="仿宋_GB2312" w:hint="eastAsia"/>
        </w:rPr>
        <w:t>开化县人民政府</w:t>
      </w:r>
      <w:r>
        <w:t xml:space="preserve">         </w:t>
      </w:r>
    </w:p>
    <w:p w:rsidR="0074776C" w:rsidRDefault="0074776C">
      <w:pPr>
        <w:wordWrap w:val="0"/>
        <w:ind w:firstLineChars="0" w:firstLine="0"/>
        <w:jc w:val="right"/>
      </w:pPr>
      <w:r>
        <w:t>2022</w:t>
      </w:r>
      <w:r>
        <w:rPr>
          <w:rFonts w:cs="仿宋_GB2312" w:hint="eastAsia"/>
        </w:rPr>
        <w:t>年</w:t>
      </w:r>
      <w:r>
        <w:t>2</w:t>
      </w:r>
      <w:r>
        <w:rPr>
          <w:rFonts w:cs="仿宋_GB2312" w:hint="eastAsia"/>
        </w:rPr>
        <w:t>月</w:t>
      </w:r>
      <w:r>
        <w:t>15</w:t>
      </w:r>
      <w:r>
        <w:rPr>
          <w:rFonts w:cs="仿宋_GB2312" w:hint="eastAsia"/>
        </w:rPr>
        <w:t>日</w:t>
      </w:r>
      <w:r>
        <w:t xml:space="preserve">        </w:t>
      </w:r>
    </w:p>
    <w:p w:rsidR="0074776C" w:rsidRDefault="0074776C" w:rsidP="00BA0F9F">
      <w:pPr>
        <w:ind w:firstLine="31680"/>
      </w:pPr>
      <w:r>
        <w:rPr>
          <w:rFonts w:cs="仿宋_GB2312" w:hint="eastAsia"/>
        </w:rPr>
        <w:t>（此件公开发布）</w:t>
      </w:r>
    </w:p>
    <w:p w:rsidR="0074776C" w:rsidRDefault="0074776C">
      <w:pPr>
        <w:ind w:firstLineChars="0" w:firstLine="0"/>
        <w:jc w:val="center"/>
        <w:rPr>
          <w:rFonts w:eastAsia="方正小标宋简体"/>
          <w:sz w:val="44"/>
          <w:szCs w:val="44"/>
        </w:rPr>
        <w:sectPr w:rsidR="0074776C">
          <w:footerReference w:type="default" r:id="rId7"/>
          <w:pgSz w:w="11906" w:h="16838"/>
          <w:pgMar w:top="1701" w:right="1531" w:bottom="1701" w:left="1531" w:header="851" w:footer="1587" w:gutter="0"/>
          <w:pgNumType w:fmt="numberInDash"/>
          <w:cols w:space="0"/>
          <w:docGrid w:type="lines" w:linePitch="579"/>
        </w:sectPr>
      </w:pPr>
    </w:p>
    <w:p w:rsidR="0074776C" w:rsidRDefault="0074776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关于进一步加快服务业跨越式高质量发展的</w:t>
      </w:r>
    </w:p>
    <w:p w:rsidR="0074776C" w:rsidRDefault="0074776C">
      <w:pPr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政策意见</w:t>
      </w: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  <w:r>
        <w:rPr>
          <w:rFonts w:cs="仿宋_GB2312" w:hint="eastAsia"/>
        </w:rPr>
        <w:t>为适应服务业发展新趋势，构建服务业发展新格局，着力培育壮大一批服务业企业，进一步推动服务业跨越式高质量发展，助力打造共同富裕先行地，现结合我县实际，制定本政策意见。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rFonts w:eastAsia="黑体"/>
        </w:rPr>
      </w:pPr>
      <w:r>
        <w:rPr>
          <w:rFonts w:eastAsia="黑体" w:cs="黑体" w:hint="eastAsia"/>
        </w:rPr>
        <w:t>一、适用范围</w:t>
      </w:r>
    </w:p>
    <w:p w:rsidR="0074776C" w:rsidRDefault="0074776C">
      <w:pPr>
        <w:numPr>
          <w:ilvl w:val="255"/>
          <w:numId w:val="0"/>
        </w:numPr>
      </w:pPr>
      <w:r>
        <w:rPr>
          <w:rFonts w:eastAsia="黑体"/>
        </w:rPr>
        <w:t xml:space="preserve">    </w:t>
      </w:r>
      <w:r>
        <w:rPr>
          <w:rFonts w:cs="仿宋_GB2312" w:hint="eastAsia"/>
        </w:rPr>
        <w:t>本政策意见适用于在我县注册登记，具有独立法人资格</w:t>
      </w:r>
      <w:r>
        <w:t>,</w:t>
      </w:r>
      <w:r>
        <w:rPr>
          <w:rFonts w:cs="仿宋_GB2312" w:hint="eastAsia"/>
        </w:rPr>
        <w:t>实现统一核算，诚信经营、依法统计、依法纳税的服务业企业（房地产企业除外，下同）。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rFonts w:eastAsia="黑体"/>
        </w:rPr>
      </w:pPr>
      <w:r>
        <w:rPr>
          <w:rFonts w:eastAsia="黑体" w:cs="黑体" w:hint="eastAsia"/>
        </w:rPr>
        <w:t>二、规模（限额）以上服务业企业标准</w:t>
      </w:r>
    </w:p>
    <w:p w:rsidR="0074776C" w:rsidRDefault="0074776C">
      <w:pPr>
        <w:numPr>
          <w:ilvl w:val="0"/>
          <w:numId w:val="4"/>
        </w:numPr>
        <w:ind w:firstLineChars="0" w:firstLine="0"/>
        <w:rPr>
          <w:rFonts w:eastAsia="楷体_GB2312"/>
        </w:rPr>
      </w:pPr>
      <w:r>
        <w:rPr>
          <w:rFonts w:eastAsia="楷体_GB2312" w:cs="楷体_GB2312" w:hint="eastAsia"/>
        </w:rPr>
        <w:t>规模以上标准</w:t>
      </w:r>
    </w:p>
    <w:p w:rsidR="0074776C" w:rsidRDefault="0074776C" w:rsidP="00BA0F9F">
      <w:pPr>
        <w:pStyle w:val="NormalWeb"/>
        <w:widowControl/>
        <w:wordWrap w:val="0"/>
        <w:spacing w:beforeAutospacing="0" w:afterAutospacing="0"/>
        <w:ind w:firstLine="31680"/>
        <w:rPr>
          <w:rFonts w:eastAsia="楷体_GB2312"/>
          <w:sz w:val="32"/>
          <w:szCs w:val="32"/>
        </w:rPr>
      </w:pPr>
      <w:r>
        <w:rPr>
          <w:rFonts w:cs="仿宋_GB2312" w:hint="eastAsia"/>
          <w:color w:val="000000"/>
          <w:sz w:val="32"/>
          <w:szCs w:val="32"/>
        </w:rPr>
        <w:t>文化、体育和娱乐业，社会工作业，居民服务、修理和其他服务业：年营业收入</w:t>
      </w:r>
      <w:r>
        <w:rPr>
          <w:color w:val="000000"/>
          <w:sz w:val="32"/>
          <w:szCs w:val="32"/>
        </w:rPr>
        <w:t>500</w:t>
      </w:r>
      <w:r>
        <w:rPr>
          <w:rFonts w:cs="仿宋_GB2312" w:hint="eastAsia"/>
          <w:color w:val="000000"/>
          <w:sz w:val="32"/>
          <w:szCs w:val="32"/>
        </w:rPr>
        <w:t>万元及以上；租赁和商务服务业，科学研究和技术服务业，教育业，物业管理、房地产中介服务、房地产租赁经营和其他房地产业：年营业收入</w:t>
      </w:r>
      <w:r>
        <w:rPr>
          <w:color w:val="000000"/>
          <w:sz w:val="32"/>
          <w:szCs w:val="32"/>
        </w:rPr>
        <w:t>1000</w:t>
      </w:r>
      <w:r>
        <w:rPr>
          <w:rFonts w:cs="仿宋_GB2312" w:hint="eastAsia"/>
          <w:color w:val="000000"/>
          <w:sz w:val="32"/>
          <w:szCs w:val="32"/>
        </w:rPr>
        <w:t>万元及以上；信息传输、软件和信息技术服务业，交通运输、仓储和邮政业，卫生业，水利、环境和公共设施管理业：年营业收入</w:t>
      </w:r>
      <w:r>
        <w:rPr>
          <w:color w:val="000000"/>
          <w:sz w:val="32"/>
          <w:szCs w:val="32"/>
        </w:rPr>
        <w:t>2000</w:t>
      </w:r>
      <w:r>
        <w:rPr>
          <w:rFonts w:cs="仿宋_GB2312" w:hint="eastAsia"/>
          <w:color w:val="000000"/>
          <w:sz w:val="32"/>
          <w:szCs w:val="32"/>
        </w:rPr>
        <w:t>万元及以上。</w:t>
      </w:r>
    </w:p>
    <w:p w:rsidR="0074776C" w:rsidRDefault="0074776C">
      <w:pPr>
        <w:numPr>
          <w:ilvl w:val="0"/>
          <w:numId w:val="4"/>
        </w:numPr>
        <w:ind w:firstLineChars="0" w:firstLine="0"/>
        <w:rPr>
          <w:rFonts w:eastAsia="楷体_GB2312"/>
        </w:rPr>
      </w:pPr>
      <w:r>
        <w:rPr>
          <w:rFonts w:eastAsia="楷体_GB2312" w:cs="楷体_GB2312" w:hint="eastAsia"/>
        </w:rPr>
        <w:t>限额以上标准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color w:val="000000"/>
        </w:rPr>
      </w:pPr>
      <w:r>
        <w:rPr>
          <w:rFonts w:cs="仿宋_GB2312" w:hint="eastAsia"/>
          <w:color w:val="000000"/>
        </w:rPr>
        <w:t>住宿业、餐饮业：年营业收入</w:t>
      </w:r>
      <w:r>
        <w:rPr>
          <w:color w:val="000000"/>
        </w:rPr>
        <w:t>200</w:t>
      </w:r>
      <w:r>
        <w:rPr>
          <w:rFonts w:cs="仿宋_GB2312" w:hint="eastAsia"/>
          <w:color w:val="000000"/>
        </w:rPr>
        <w:t>万元及以上；零售业：年营业收入</w:t>
      </w:r>
      <w:r>
        <w:rPr>
          <w:color w:val="000000"/>
        </w:rPr>
        <w:t>500</w:t>
      </w:r>
      <w:r>
        <w:rPr>
          <w:rFonts w:cs="仿宋_GB2312" w:hint="eastAsia"/>
          <w:color w:val="000000"/>
        </w:rPr>
        <w:t>万元及以上；批发业：年营业收入</w:t>
      </w:r>
      <w:r>
        <w:rPr>
          <w:color w:val="000000"/>
        </w:rPr>
        <w:t>2000</w:t>
      </w:r>
      <w:r>
        <w:rPr>
          <w:rFonts w:cs="仿宋_GB2312" w:hint="eastAsia"/>
          <w:color w:val="000000"/>
        </w:rPr>
        <w:t>万元及以上。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</w:pPr>
      <w:r>
        <w:rPr>
          <w:rFonts w:eastAsia="黑体" w:cs="黑体" w:hint="eastAsia"/>
        </w:rPr>
        <w:t>三、奖励政策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color w:val="333333"/>
          <w:shd w:val="clear" w:color="auto" w:fill="FFFFFF"/>
        </w:rPr>
      </w:pPr>
      <w:r>
        <w:rPr>
          <w:rFonts w:eastAsia="楷体_GB2312" w:cs="楷体_GB2312" w:hint="eastAsia"/>
        </w:rPr>
        <w:t>（一）经营贡献奖励</w:t>
      </w:r>
      <w:r>
        <w:rPr>
          <w:rFonts w:cs="仿宋_GB2312" w:hint="eastAsia"/>
        </w:rPr>
        <w:t>。为提升服务业企业地方综合贡献，对新注册的服务业企业，自成立之日起五年内，地方综合贡献达到</w:t>
      </w:r>
      <w:r>
        <w:t>5</w:t>
      </w:r>
      <w:r>
        <w:rPr>
          <w:rFonts w:cs="仿宋_GB2312" w:hint="eastAsia"/>
        </w:rPr>
        <w:t>万元以上的，参照地方综合贡献的</w:t>
      </w:r>
      <w:r>
        <w:t>60%</w:t>
      </w:r>
      <w:r>
        <w:rPr>
          <w:rFonts w:cs="仿宋_GB2312" w:hint="eastAsia"/>
        </w:rPr>
        <w:t>给予奖励；地方综合贡献达到</w:t>
      </w:r>
      <w:r>
        <w:t>50</w:t>
      </w:r>
      <w:r>
        <w:rPr>
          <w:rFonts w:cs="仿宋_GB2312" w:hint="eastAsia"/>
        </w:rPr>
        <w:t>万元以上的，参照地方综合贡献的</w:t>
      </w:r>
      <w:r>
        <w:t>70%</w:t>
      </w:r>
      <w:r>
        <w:rPr>
          <w:rFonts w:cs="仿宋_GB2312" w:hint="eastAsia"/>
        </w:rPr>
        <w:t>给予奖励；地方综合贡献达到</w:t>
      </w:r>
      <w:r>
        <w:t>100</w:t>
      </w:r>
      <w:r>
        <w:rPr>
          <w:rFonts w:cs="仿宋_GB2312" w:hint="eastAsia"/>
        </w:rPr>
        <w:t>万元以上的，参照地方综合贡献的</w:t>
      </w:r>
      <w:r>
        <w:t>80%</w:t>
      </w:r>
      <w:r>
        <w:rPr>
          <w:rFonts w:cs="仿宋_GB2312" w:hint="eastAsia"/>
        </w:rPr>
        <w:t>按季给予奖励；地方综合贡献达到</w:t>
      </w:r>
      <w:r>
        <w:t>300</w:t>
      </w:r>
      <w:r>
        <w:rPr>
          <w:rFonts w:cs="仿宋_GB2312" w:hint="eastAsia"/>
        </w:rPr>
        <w:t>万元以上的，参照地方综合贡献的</w:t>
      </w:r>
      <w:r>
        <w:t>90%</w:t>
      </w:r>
      <w:r>
        <w:rPr>
          <w:rFonts w:cs="仿宋_GB2312" w:hint="eastAsia"/>
        </w:rPr>
        <w:t>按月给予奖励</w:t>
      </w:r>
      <w:r>
        <w:rPr>
          <w:rFonts w:cs="仿宋_GB2312" w:hint="eastAsia"/>
          <w:color w:val="333333"/>
          <w:shd w:val="clear" w:color="auto" w:fill="FFFFFF"/>
        </w:rPr>
        <w:t>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jc w:val="left"/>
      </w:pPr>
      <w:r>
        <w:rPr>
          <w:rFonts w:eastAsia="楷体_GB2312" w:cs="楷体_GB2312" w:hint="eastAsia"/>
        </w:rPr>
        <w:t>（二）升规入库奖励</w:t>
      </w:r>
      <w:r>
        <w:rPr>
          <w:rFonts w:cs="仿宋_GB2312" w:hint="eastAsia"/>
        </w:rPr>
        <w:t>。为支持服务业企业升规入库，对首次月度新增、年度新增为规模（限额）以上服务业企业的，分别给予奖励</w:t>
      </w:r>
      <w:r>
        <w:t>12</w:t>
      </w:r>
      <w:r>
        <w:rPr>
          <w:rFonts w:cs="仿宋_GB2312" w:hint="eastAsia"/>
        </w:rPr>
        <w:t>万元、</w:t>
      </w:r>
      <w:r>
        <w:t>8</w:t>
      </w:r>
      <w:r>
        <w:rPr>
          <w:rFonts w:cs="仿宋_GB2312" w:hint="eastAsia"/>
        </w:rPr>
        <w:t>万元（分两次兑现：月度新增入库后奖励</w:t>
      </w:r>
      <w:r>
        <w:t>8</w:t>
      </w:r>
      <w:r>
        <w:rPr>
          <w:rFonts w:cs="仿宋_GB2312" w:hint="eastAsia"/>
        </w:rPr>
        <w:t>万元，次年营业收入保持正增长的再奖励</w:t>
      </w:r>
      <w:r>
        <w:t>4</w:t>
      </w:r>
      <w:r>
        <w:rPr>
          <w:rFonts w:cs="仿宋_GB2312" w:hint="eastAsia"/>
        </w:rPr>
        <w:t>万元；年度新增入库后奖励</w:t>
      </w:r>
      <w:r>
        <w:t>6</w:t>
      </w:r>
      <w:r>
        <w:rPr>
          <w:rFonts w:cs="仿宋_GB2312" w:hint="eastAsia"/>
        </w:rPr>
        <w:t>万元，次年营业收入保持正增长的再奖励</w:t>
      </w:r>
      <w:r>
        <w:t>2</w:t>
      </w:r>
      <w:r>
        <w:rPr>
          <w:rFonts w:cs="仿宋_GB2312" w:hint="eastAsia"/>
        </w:rPr>
        <w:t>万元）。自升规入库后次年起三年内年营业收入保持正增长的，第一年、第二年、第三年分别给予一次性奖励</w:t>
      </w:r>
      <w:r>
        <w:t>1</w:t>
      </w:r>
      <w:r>
        <w:rPr>
          <w:rFonts w:cs="仿宋_GB2312" w:hint="eastAsia"/>
        </w:rPr>
        <w:t>万元、</w:t>
      </w:r>
      <w:r>
        <w:t>2</w:t>
      </w:r>
      <w:r>
        <w:rPr>
          <w:rFonts w:cs="仿宋_GB2312" w:hint="eastAsia"/>
        </w:rPr>
        <w:t>万元、</w:t>
      </w:r>
      <w:r>
        <w:t>3</w:t>
      </w:r>
      <w:r>
        <w:rPr>
          <w:rFonts w:cs="仿宋_GB2312" w:hint="eastAsia"/>
        </w:rPr>
        <w:t>万元。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</w:pPr>
      <w:r>
        <w:rPr>
          <w:rFonts w:eastAsia="楷体_GB2312" w:cs="楷体_GB2312" w:hint="eastAsia"/>
        </w:rPr>
        <w:t>（三）</w:t>
      </w:r>
      <w:r>
        <w:rPr>
          <w:rFonts w:eastAsia="楷体_GB2312"/>
        </w:rPr>
        <w:t>“</w:t>
      </w:r>
      <w:r>
        <w:rPr>
          <w:rFonts w:eastAsia="楷体_GB2312" w:cs="楷体_GB2312" w:hint="eastAsia"/>
        </w:rPr>
        <w:t>赛马</w:t>
      </w:r>
      <w:r>
        <w:rPr>
          <w:rFonts w:eastAsia="楷体_GB2312"/>
        </w:rPr>
        <w:t>”</w:t>
      </w:r>
      <w:r>
        <w:rPr>
          <w:rFonts w:eastAsia="楷体_GB2312" w:cs="楷体_GB2312" w:hint="eastAsia"/>
        </w:rPr>
        <w:t>奖励</w:t>
      </w:r>
      <w:r>
        <w:rPr>
          <w:rFonts w:cs="仿宋_GB2312" w:hint="eastAsia"/>
        </w:rPr>
        <w:t>。为鼓励规模（限额）以上服务业企业争先进位，对半年度、全年度营业收入保持正增长且增速增量在行业内综合排名前五的，分别给予奖励</w:t>
      </w:r>
      <w:r>
        <w:t>5</w:t>
      </w:r>
      <w:r>
        <w:rPr>
          <w:rFonts w:cs="仿宋_GB2312" w:hint="eastAsia"/>
        </w:rPr>
        <w:t>万元、</w:t>
      </w:r>
      <w:r>
        <w:t>8</w:t>
      </w:r>
      <w:r>
        <w:rPr>
          <w:rFonts w:cs="仿宋_GB2312" w:hint="eastAsia"/>
        </w:rPr>
        <w:t>万元；对年地方综合贡献在行业内排名前五的，给予奖励</w:t>
      </w:r>
      <w:r>
        <w:t>3</w:t>
      </w:r>
      <w:r>
        <w:rPr>
          <w:rFonts w:cs="仿宋_GB2312" w:hint="eastAsia"/>
        </w:rPr>
        <w:t>万元（分六行业，获奖企业排名前五，且获奖企业家数不得超过该行业的三分之一）。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jc w:val="left"/>
        <w:rPr>
          <w:color w:val="000000"/>
          <w:kern w:val="0"/>
        </w:rPr>
      </w:pPr>
      <w:r>
        <w:rPr>
          <w:rFonts w:eastAsia="楷体_GB2312" w:cs="楷体_GB2312" w:hint="eastAsia"/>
        </w:rPr>
        <w:t>（四）</w:t>
      </w:r>
      <w:r>
        <w:rPr>
          <w:rFonts w:eastAsia="楷体_GB2312"/>
        </w:rPr>
        <w:t>“</w:t>
      </w:r>
      <w:r>
        <w:rPr>
          <w:rFonts w:eastAsia="楷体_GB2312" w:cs="楷体_GB2312" w:hint="eastAsia"/>
        </w:rPr>
        <w:t>上台阶</w:t>
      </w:r>
      <w:r>
        <w:rPr>
          <w:rFonts w:eastAsia="楷体_GB2312"/>
        </w:rPr>
        <w:t>”</w:t>
      </w:r>
      <w:r>
        <w:rPr>
          <w:rFonts w:eastAsia="楷体_GB2312" w:cs="楷体_GB2312" w:hint="eastAsia"/>
        </w:rPr>
        <w:t>奖励</w:t>
      </w:r>
      <w:r>
        <w:rPr>
          <w:rFonts w:cs="仿宋_GB2312" w:hint="eastAsia"/>
        </w:rPr>
        <w:t>。为鼓励</w:t>
      </w:r>
      <w:r>
        <w:rPr>
          <w:rFonts w:cs="仿宋_GB2312" w:hint="eastAsia"/>
          <w:color w:val="000000"/>
          <w:kern w:val="0"/>
        </w:rPr>
        <w:t>规模（限额）以上服务业企业</w:t>
      </w:r>
      <w:r>
        <w:rPr>
          <w:rFonts w:cs="仿宋_GB2312" w:hint="eastAsia"/>
        </w:rPr>
        <w:t>上台阶，对年营</w:t>
      </w:r>
      <w:r>
        <w:rPr>
          <w:rFonts w:cs="仿宋_GB2312" w:hint="eastAsia"/>
          <w:color w:val="000000"/>
          <w:kern w:val="0"/>
        </w:rPr>
        <w:t>业收入首次达到下列标准的，给予相应奖励。若企业再上新台阶的，则给予补差奖励。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0"/>
        <w:gridCol w:w="2011"/>
        <w:gridCol w:w="2011"/>
        <w:gridCol w:w="2014"/>
        <w:gridCol w:w="1063"/>
      </w:tblGrid>
      <w:tr w:rsidR="0074776C">
        <w:trPr>
          <w:trHeight w:val="605"/>
          <w:jc w:val="center"/>
        </w:trPr>
        <w:tc>
          <w:tcPr>
            <w:tcW w:w="2011" w:type="dxa"/>
            <w:vAlign w:val="center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住宿业、餐饮业</w:t>
            </w:r>
          </w:p>
        </w:tc>
        <w:tc>
          <w:tcPr>
            <w:tcW w:w="2011" w:type="dxa"/>
            <w:vAlign w:val="center"/>
          </w:tcPr>
          <w:p w:rsidR="0074776C" w:rsidRPr="004C7794" w:rsidRDefault="0074776C" w:rsidP="004C7794">
            <w:pPr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  <w:highlight w:val="red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零售业，文化、体育和娱乐业，社会工作业，居民服务、修理和其他服务业</w:t>
            </w:r>
          </w:p>
        </w:tc>
        <w:tc>
          <w:tcPr>
            <w:tcW w:w="2011" w:type="dxa"/>
            <w:vAlign w:val="center"/>
          </w:tcPr>
          <w:p w:rsidR="0074776C" w:rsidRPr="004C7794" w:rsidRDefault="0074776C" w:rsidP="004C7794">
            <w:pPr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  <w:highlight w:val="red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租赁和商务服务业，科学研究和技术服务业，教育业，物业管理、房地产中介服务、房地产租赁经营和其他房地产业</w:t>
            </w:r>
            <w:r w:rsidRPr="004C7794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74776C" w:rsidRPr="004C7794" w:rsidRDefault="0074776C" w:rsidP="004C7794">
            <w:pPr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  <w:highlight w:val="red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批发业，信息传输、软件和信息技术服务业，交通运输、仓储和邮政业，卫生业，水利、环境和公共设施管理业</w:t>
            </w:r>
          </w:p>
        </w:tc>
        <w:tc>
          <w:tcPr>
            <w:tcW w:w="1063" w:type="dxa"/>
            <w:vAlign w:val="center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奖励</w:t>
            </w:r>
          </w:p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74776C">
        <w:trPr>
          <w:trHeight w:val="475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400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1500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4776C">
        <w:trPr>
          <w:trHeight w:val="227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1500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5000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4776C">
        <w:trPr>
          <w:trHeight w:val="227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1500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5000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4776C">
        <w:trPr>
          <w:trHeight w:val="451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5000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1.5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25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4776C">
        <w:trPr>
          <w:trHeight w:val="227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5000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1.5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40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74776C">
        <w:trPr>
          <w:trHeight w:val="227"/>
          <w:jc w:val="center"/>
        </w:trPr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8000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1.5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011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3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2014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5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亿元</w:t>
            </w:r>
          </w:p>
        </w:tc>
        <w:tc>
          <w:tcPr>
            <w:tcW w:w="1063" w:type="dxa"/>
          </w:tcPr>
          <w:p w:rsidR="0074776C" w:rsidRPr="004C7794" w:rsidRDefault="0074776C" w:rsidP="004C7794">
            <w:pPr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C7794">
              <w:rPr>
                <w:color w:val="000000"/>
                <w:kern w:val="0"/>
                <w:sz w:val="24"/>
                <w:szCs w:val="24"/>
              </w:rPr>
              <w:t>60</w:t>
            </w:r>
            <w:r w:rsidRPr="004C7794">
              <w:rPr>
                <w:rFonts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</w:tbl>
    <w:p w:rsidR="0074776C" w:rsidRDefault="0074776C" w:rsidP="0074776C">
      <w:pPr>
        <w:numPr>
          <w:ilvl w:val="255"/>
          <w:numId w:val="0"/>
        </w:numPr>
        <w:ind w:firstLineChars="200" w:firstLine="31680"/>
      </w:pPr>
      <w:r>
        <w:rPr>
          <w:rFonts w:eastAsia="楷体_GB2312" w:cs="楷体_GB2312" w:hint="eastAsia"/>
        </w:rPr>
        <w:t>（五）扩大规模奖励</w:t>
      </w:r>
      <w:r>
        <w:rPr>
          <w:rFonts w:cs="仿宋_GB2312" w:hint="eastAsia"/>
        </w:rPr>
        <w:t>。为鼓励规模（限额）以上服务业企业扩大市场覆盖面，提高知名度，对新增开设分公司、分店、连锁店并纳入总部核算且年营业收入保持正增长的，每新增</w:t>
      </w:r>
      <w:r>
        <w:t>1</w:t>
      </w:r>
      <w:r>
        <w:rPr>
          <w:rFonts w:cs="仿宋_GB2312" w:hint="eastAsia"/>
        </w:rPr>
        <w:t>家，给予奖励</w:t>
      </w:r>
      <w:r>
        <w:t>2</w:t>
      </w:r>
      <w:r>
        <w:rPr>
          <w:rFonts w:cs="仿宋_GB2312" w:hint="eastAsia"/>
        </w:rPr>
        <w:t>万元。</w:t>
      </w:r>
    </w:p>
    <w:p w:rsidR="0074776C" w:rsidRDefault="0074776C" w:rsidP="00BA0F9F">
      <w:pPr>
        <w:ind w:firstLine="31680"/>
      </w:pPr>
      <w:r>
        <w:rPr>
          <w:rFonts w:eastAsia="楷体_GB2312" w:cs="楷体_GB2312" w:hint="eastAsia"/>
        </w:rPr>
        <w:t>（六）企业培育奖励</w:t>
      </w:r>
      <w:r>
        <w:rPr>
          <w:rFonts w:cs="仿宋_GB2312" w:hint="eastAsia"/>
        </w:rPr>
        <w:t>。为凝聚服务业企业发展合力，对具有升规入库潜力的企业，经行业主管部门或属地乡镇（芹阳办）推荐后首次纳入年度服务业企业重点培育库并升规入库的，给予一次性奖励</w:t>
      </w:r>
      <w:r>
        <w:t>2</w:t>
      </w:r>
      <w:r>
        <w:rPr>
          <w:rFonts w:cs="仿宋_GB2312" w:hint="eastAsia"/>
        </w:rPr>
        <w:t>万元；鼓励市场经营主体、服务业综合平台推动企业升规入库，每升规入库</w:t>
      </w:r>
      <w:r>
        <w:t>1</w:t>
      </w:r>
      <w:r>
        <w:rPr>
          <w:rFonts w:cs="仿宋_GB2312" w:hint="eastAsia"/>
        </w:rPr>
        <w:t>家的，给予奖励</w:t>
      </w:r>
      <w:r>
        <w:t>3</w:t>
      </w:r>
      <w:r>
        <w:rPr>
          <w:rFonts w:cs="仿宋_GB2312" w:hint="eastAsia"/>
        </w:rPr>
        <w:t>万元。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color w:val="000000"/>
          <w:kern w:val="0"/>
        </w:rPr>
      </w:pPr>
      <w:r>
        <w:rPr>
          <w:rFonts w:eastAsia="楷体_GB2312" w:cs="楷体_GB2312" w:hint="eastAsia"/>
        </w:rPr>
        <w:t>（七）重点企业奖励</w:t>
      </w:r>
      <w:r>
        <w:rPr>
          <w:rFonts w:cs="仿宋_GB2312" w:hint="eastAsia"/>
        </w:rPr>
        <w:t>。</w:t>
      </w:r>
      <w:r>
        <w:rPr>
          <w:rFonts w:cs="仿宋_GB2312" w:hint="eastAsia"/>
          <w:color w:val="000000"/>
          <w:kern w:val="0"/>
        </w:rPr>
        <w:t>为鼓励服务业重点企业做大做强，对首次获得</w:t>
      </w:r>
      <w:r>
        <w:rPr>
          <w:color w:val="000000"/>
          <w:kern w:val="0"/>
        </w:rPr>
        <w:t>“</w:t>
      </w:r>
      <w:r>
        <w:rPr>
          <w:rFonts w:cs="仿宋_GB2312" w:hint="eastAsia"/>
          <w:color w:val="000000"/>
          <w:kern w:val="0"/>
        </w:rPr>
        <w:t>浙江省服务业重点企业</w:t>
      </w:r>
      <w:r>
        <w:rPr>
          <w:color w:val="000000"/>
          <w:kern w:val="0"/>
        </w:rPr>
        <w:t>”“</w:t>
      </w:r>
      <w:r>
        <w:rPr>
          <w:rFonts w:cs="仿宋_GB2312" w:hint="eastAsia"/>
          <w:color w:val="000000"/>
          <w:kern w:val="0"/>
        </w:rPr>
        <w:t>衢州市服务业重点企业</w:t>
      </w:r>
      <w:r>
        <w:rPr>
          <w:color w:val="000000"/>
          <w:kern w:val="0"/>
        </w:rPr>
        <w:t>”“</w:t>
      </w:r>
      <w:r>
        <w:rPr>
          <w:rFonts w:cs="仿宋_GB2312" w:hint="eastAsia"/>
          <w:color w:val="000000"/>
          <w:kern w:val="0"/>
        </w:rPr>
        <w:t>开化县服务业重点企业</w:t>
      </w:r>
      <w:r>
        <w:rPr>
          <w:color w:val="000000"/>
          <w:kern w:val="0"/>
        </w:rPr>
        <w:t>”</w:t>
      </w:r>
      <w:r>
        <w:rPr>
          <w:rFonts w:cs="仿宋_GB2312" w:hint="eastAsia"/>
          <w:color w:val="000000"/>
          <w:kern w:val="0"/>
        </w:rPr>
        <w:t>荣誉称号的企业，分别给予一次性奖励</w:t>
      </w:r>
      <w:r>
        <w:rPr>
          <w:color w:val="000000"/>
          <w:kern w:val="0"/>
        </w:rPr>
        <w:t>15</w:t>
      </w:r>
      <w:r>
        <w:rPr>
          <w:rFonts w:cs="仿宋_GB2312" w:hint="eastAsia"/>
          <w:color w:val="000000"/>
          <w:kern w:val="0"/>
        </w:rPr>
        <w:t>万元、</w:t>
      </w:r>
      <w:r>
        <w:rPr>
          <w:color w:val="000000"/>
          <w:kern w:val="0"/>
        </w:rPr>
        <w:t>10</w:t>
      </w:r>
      <w:r>
        <w:rPr>
          <w:rFonts w:cs="仿宋_GB2312" w:hint="eastAsia"/>
          <w:color w:val="000000"/>
          <w:kern w:val="0"/>
        </w:rPr>
        <w:t>万元、</w:t>
      </w:r>
      <w:r>
        <w:rPr>
          <w:color w:val="000000"/>
          <w:kern w:val="0"/>
        </w:rPr>
        <w:t>5</w:t>
      </w:r>
      <w:r>
        <w:rPr>
          <w:rFonts w:cs="仿宋_GB2312" w:hint="eastAsia"/>
          <w:color w:val="000000"/>
          <w:kern w:val="0"/>
        </w:rPr>
        <w:t>万元；对首次列入</w:t>
      </w:r>
      <w:r>
        <w:rPr>
          <w:color w:val="000000"/>
          <w:kern w:val="0"/>
        </w:rPr>
        <w:t>“</w:t>
      </w:r>
      <w:r>
        <w:rPr>
          <w:rFonts w:cs="仿宋_GB2312" w:hint="eastAsia"/>
          <w:color w:val="000000"/>
          <w:kern w:val="0"/>
        </w:rPr>
        <w:t>浙江省服务业重点项目计划</w:t>
      </w:r>
      <w:r>
        <w:rPr>
          <w:color w:val="000000"/>
          <w:kern w:val="0"/>
        </w:rPr>
        <w:t>”</w:t>
      </w:r>
      <w:r>
        <w:rPr>
          <w:rFonts w:cs="仿宋_GB2312" w:hint="eastAsia"/>
          <w:color w:val="000000"/>
          <w:kern w:val="0"/>
        </w:rPr>
        <w:t>的企业，给予一次性奖励</w:t>
      </w:r>
      <w:r>
        <w:rPr>
          <w:color w:val="000000"/>
          <w:kern w:val="0"/>
        </w:rPr>
        <w:t>8</w:t>
      </w:r>
      <w:r>
        <w:rPr>
          <w:rFonts w:cs="仿宋_GB2312" w:hint="eastAsia"/>
          <w:color w:val="000000"/>
          <w:kern w:val="0"/>
        </w:rPr>
        <w:t>万元。</w:t>
      </w:r>
    </w:p>
    <w:p w:rsidR="0074776C" w:rsidRDefault="0074776C">
      <w:pPr>
        <w:ind w:firstLineChars="0" w:firstLine="0"/>
      </w:pPr>
      <w:r>
        <w:rPr>
          <w:rFonts w:eastAsia="楷体_GB2312"/>
        </w:rPr>
        <w:t xml:space="preserve">    </w:t>
      </w:r>
      <w:r>
        <w:rPr>
          <w:rFonts w:eastAsia="楷体_GB2312" w:cs="楷体_GB2312" w:hint="eastAsia"/>
        </w:rPr>
        <w:t>（八）主辅分离奖励</w:t>
      </w:r>
      <w:r>
        <w:rPr>
          <w:rFonts w:cs="仿宋_GB2312" w:hint="eastAsia"/>
        </w:rPr>
        <w:t>。推进工业企业主辅分离发展，鼓励企业分离研发、设计、运输等非主营业务。对主辅分离后新成立的服务业企业，凡首次升规入库的，给予一次性奖励</w:t>
      </w:r>
      <w:r>
        <w:t>10</w:t>
      </w:r>
      <w:r>
        <w:rPr>
          <w:rFonts w:cs="仿宋_GB2312" w:hint="eastAsia"/>
        </w:rPr>
        <w:t>万元。</w:t>
      </w:r>
    </w:p>
    <w:p w:rsidR="0074776C" w:rsidRDefault="0074776C" w:rsidP="00BA0F9F">
      <w:pPr>
        <w:numPr>
          <w:ilvl w:val="255"/>
          <w:numId w:val="0"/>
        </w:numPr>
        <w:ind w:firstLineChars="200" w:firstLine="31680"/>
        <w:rPr>
          <w:rFonts w:eastAsia="黑体"/>
        </w:rPr>
      </w:pPr>
      <w:r>
        <w:rPr>
          <w:rFonts w:eastAsia="黑体" w:cs="黑体" w:hint="eastAsia"/>
        </w:rPr>
        <w:t>四、附则</w:t>
      </w:r>
    </w:p>
    <w:p w:rsidR="0074776C" w:rsidRDefault="0074776C" w:rsidP="00BA0F9F">
      <w:pPr>
        <w:ind w:firstLine="31680"/>
      </w:pPr>
      <w:r>
        <w:rPr>
          <w:rFonts w:eastAsia="楷体_GB2312" w:cs="楷体_GB2312" w:hint="eastAsia"/>
        </w:rPr>
        <w:t>（一）</w:t>
      </w:r>
      <w:r>
        <w:rPr>
          <w:rFonts w:cs="仿宋_GB2312" w:hint="eastAsia"/>
        </w:rPr>
        <w:t>企业当年发生一般及以上安全生产事故或当次直接经济损失</w:t>
      </w:r>
      <w:r>
        <w:t>500</w:t>
      </w:r>
      <w:r>
        <w:rPr>
          <w:rFonts w:cs="仿宋_GB2312" w:hint="eastAsia"/>
        </w:rPr>
        <w:t>万元以上；存在违反税收法律法规行为且情节严重的；因环境污染问题被公安部门刑事立案的，所有奖励不予享受，</w:t>
      </w:r>
      <w:r>
        <w:rPr>
          <w:rFonts w:cs="仿宋_GB2312" w:hint="eastAsia"/>
          <w:color w:val="000000"/>
          <w:kern w:val="0"/>
        </w:rPr>
        <w:t>已经享受的须予以退还。</w:t>
      </w:r>
      <w:r>
        <w:rPr>
          <w:rFonts w:cs="仿宋_GB2312" w:hint="eastAsia"/>
        </w:rPr>
        <w:t>对企业同一事项符合多项扶持政策的，按</w:t>
      </w:r>
      <w:r>
        <w:t>“</w:t>
      </w:r>
      <w:r>
        <w:rPr>
          <w:rFonts w:cs="仿宋_GB2312" w:hint="eastAsia"/>
        </w:rPr>
        <w:t>就高不重复、累进补差</w:t>
      </w:r>
      <w:r>
        <w:t>”</w:t>
      </w:r>
      <w:r>
        <w:rPr>
          <w:rFonts w:cs="仿宋_GB2312" w:hint="eastAsia"/>
        </w:rPr>
        <w:t>原则享受。</w:t>
      </w:r>
    </w:p>
    <w:p w:rsidR="0074776C" w:rsidRDefault="0074776C" w:rsidP="00BA0F9F">
      <w:pPr>
        <w:ind w:firstLine="31680"/>
      </w:pPr>
      <w:r>
        <w:rPr>
          <w:rFonts w:eastAsia="楷体_GB2312" w:cs="楷体_GB2312" w:hint="eastAsia"/>
        </w:rPr>
        <w:t>（二）</w:t>
      </w:r>
      <w:r>
        <w:rPr>
          <w:rFonts w:cs="仿宋_GB2312" w:hint="eastAsia"/>
        </w:rPr>
        <w:t>本政策意见实行网上申报、即时兑现制度。政策兑现由县服务业政策兑现领导小组具体负责，实施细则由县发展和改革局负责制定。</w:t>
      </w:r>
    </w:p>
    <w:p w:rsidR="0074776C" w:rsidRDefault="0074776C" w:rsidP="00BA0F9F">
      <w:pPr>
        <w:ind w:firstLine="31680"/>
      </w:pPr>
      <w:r>
        <w:rPr>
          <w:rFonts w:eastAsia="楷体_GB2312" w:cs="楷体_GB2312" w:hint="eastAsia"/>
        </w:rPr>
        <w:t>（三）</w:t>
      </w:r>
      <w:r>
        <w:rPr>
          <w:rFonts w:cs="仿宋_GB2312" w:hint="eastAsia"/>
        </w:rPr>
        <w:t>本政策意见自</w:t>
      </w:r>
      <w:r>
        <w:t>2022</w:t>
      </w:r>
      <w:r>
        <w:rPr>
          <w:rFonts w:cs="仿宋_GB2312" w:hint="eastAsia"/>
        </w:rPr>
        <w:t>年</w:t>
      </w:r>
      <w:r>
        <w:t>3</w:t>
      </w:r>
      <w:r>
        <w:rPr>
          <w:rFonts w:cs="仿宋_GB2312" w:hint="eastAsia"/>
        </w:rPr>
        <w:t>月</w:t>
      </w:r>
      <w:r>
        <w:t>16</w:t>
      </w:r>
      <w:r>
        <w:rPr>
          <w:rFonts w:cs="仿宋_GB2312" w:hint="eastAsia"/>
        </w:rPr>
        <w:t>日起施行，</w:t>
      </w:r>
      <w:r>
        <w:t>2022</w:t>
      </w:r>
      <w:r>
        <w:rPr>
          <w:rFonts w:cs="仿宋_GB2312" w:hint="eastAsia"/>
        </w:rPr>
        <w:t>年</w:t>
      </w:r>
      <w:r>
        <w:t>1</w:t>
      </w:r>
      <w:r>
        <w:rPr>
          <w:rFonts w:cs="仿宋_GB2312" w:hint="eastAsia"/>
        </w:rPr>
        <w:t>月</w:t>
      </w:r>
      <w:r>
        <w:t>1</w:t>
      </w:r>
      <w:r>
        <w:rPr>
          <w:rFonts w:cs="仿宋_GB2312" w:hint="eastAsia"/>
        </w:rPr>
        <w:t>日至</w:t>
      </w:r>
      <w:r>
        <w:t>3</w:t>
      </w:r>
      <w:r>
        <w:rPr>
          <w:rFonts w:cs="仿宋_GB2312" w:hint="eastAsia"/>
        </w:rPr>
        <w:t>月</w:t>
      </w:r>
      <w:r>
        <w:t>15</w:t>
      </w:r>
      <w:r>
        <w:rPr>
          <w:rFonts w:cs="仿宋_GB2312" w:hint="eastAsia"/>
        </w:rPr>
        <w:t>日参照施行。本政策意见施行后，《关于加快服务业高质量发展的若干政策意见》（开政发〔</w:t>
      </w:r>
      <w:r>
        <w:t>2020</w:t>
      </w:r>
      <w:r>
        <w:rPr>
          <w:rFonts w:cs="仿宋_GB2312" w:hint="eastAsia"/>
        </w:rPr>
        <w:t>〕</w:t>
      </w:r>
      <w:r>
        <w:t>53</w:t>
      </w:r>
      <w:r>
        <w:rPr>
          <w:rFonts w:cs="仿宋_GB2312" w:hint="eastAsia"/>
        </w:rPr>
        <w:t>号）、《关于修改</w:t>
      </w:r>
      <w:r>
        <w:t>&lt;</w:t>
      </w:r>
      <w:r>
        <w:rPr>
          <w:rFonts w:cs="仿宋_GB2312" w:hint="eastAsia"/>
        </w:rPr>
        <w:t>关于加快服务业高质量发展的若干政策意见</w:t>
      </w:r>
      <w:r>
        <w:t>&gt;</w:t>
      </w:r>
      <w:r>
        <w:rPr>
          <w:rFonts w:cs="仿宋_GB2312" w:hint="eastAsia"/>
        </w:rPr>
        <w:t>的通知》（开政发〔</w:t>
      </w:r>
      <w:r>
        <w:t>2021</w:t>
      </w:r>
      <w:r>
        <w:rPr>
          <w:rFonts w:cs="仿宋_GB2312" w:hint="eastAsia"/>
        </w:rPr>
        <w:t>〕</w:t>
      </w:r>
      <w:r>
        <w:t>18</w:t>
      </w:r>
      <w:r>
        <w:rPr>
          <w:rFonts w:cs="仿宋_GB2312" w:hint="eastAsia"/>
        </w:rPr>
        <w:t>号）同时废止。本政策意见施行之前符合《关于加快服务业高质量发展的若干政策意见》（开政发〔</w:t>
      </w:r>
      <w:r>
        <w:t>2020</w:t>
      </w:r>
      <w:r>
        <w:rPr>
          <w:rFonts w:cs="仿宋_GB2312" w:hint="eastAsia"/>
        </w:rPr>
        <w:t>〕</w:t>
      </w:r>
      <w:r>
        <w:t>53</w:t>
      </w:r>
      <w:r>
        <w:rPr>
          <w:rFonts w:cs="仿宋_GB2312" w:hint="eastAsia"/>
        </w:rPr>
        <w:t>号）、《关于修改</w:t>
      </w:r>
      <w:r>
        <w:t>&lt;</w:t>
      </w:r>
      <w:r>
        <w:rPr>
          <w:rFonts w:cs="仿宋_GB2312" w:hint="eastAsia"/>
        </w:rPr>
        <w:t>关于加快服务业高质量发展的若干政策意见</w:t>
      </w:r>
      <w:r>
        <w:t>&gt;</w:t>
      </w:r>
      <w:r>
        <w:rPr>
          <w:rFonts w:cs="仿宋_GB2312" w:hint="eastAsia"/>
        </w:rPr>
        <w:t>的通知》（开政发〔</w:t>
      </w:r>
      <w:r>
        <w:t>2021</w:t>
      </w:r>
      <w:r>
        <w:rPr>
          <w:rFonts w:cs="仿宋_GB2312" w:hint="eastAsia"/>
        </w:rPr>
        <w:t>〕</w:t>
      </w:r>
      <w:r>
        <w:t>18</w:t>
      </w:r>
      <w:r>
        <w:rPr>
          <w:rFonts w:cs="仿宋_GB2312" w:hint="eastAsia"/>
        </w:rPr>
        <w:t>号）中支持服务业企业升规入库条款年度持续在库奖励、提升服务业企业地方综合贡献条款新注册企业奖励条件的企业，按照原政策执行。</w:t>
      </w: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 w:rsidP="00BA0F9F">
      <w:pPr>
        <w:ind w:firstLine="31680"/>
      </w:pPr>
    </w:p>
    <w:p w:rsidR="0074776C" w:rsidRDefault="0074776C">
      <w:pPr>
        <w:ind w:firstLineChars="0" w:firstLine="0"/>
      </w:pPr>
    </w:p>
    <w:p w:rsidR="0074776C" w:rsidRDefault="0074776C">
      <w:pPr>
        <w:ind w:firstLineChars="0" w:firstLine="0"/>
      </w:pPr>
    </w:p>
    <w:p w:rsidR="0074776C" w:rsidRDefault="0074776C" w:rsidP="00BA0F9F">
      <w:pPr>
        <w:pStyle w:val="BodyTextIndent"/>
        <w:spacing w:after="0" w:line="540" w:lineRule="exact"/>
        <w:ind w:leftChars="0" w:left="0" w:firstLine="31680"/>
        <w:rPr>
          <w:rFonts w:hAnsi="仿宋_GB2312" w:cs="Times New Roman"/>
          <w:sz w:val="32"/>
          <w:szCs w:val="32"/>
          <w:lang w:val="en-US"/>
        </w:rPr>
      </w:pPr>
    </w:p>
    <w:p w:rsidR="0074776C" w:rsidRDefault="0074776C" w:rsidP="00BA0F9F">
      <w:pPr>
        <w:pBdr>
          <w:bottom w:val="single" w:sz="12" w:space="3" w:color="auto"/>
        </w:pBdr>
        <w:spacing w:line="240" w:lineRule="exact"/>
        <w:ind w:firstLine="31680"/>
        <w:jc w:val="left"/>
        <w:rPr>
          <w:rFonts w:ascii="仿宋_GB2312"/>
          <w:b/>
          <w:bCs/>
          <w:color w:val="000000"/>
          <w:spacing w:val="-6"/>
        </w:rPr>
      </w:pPr>
    </w:p>
    <w:p w:rsidR="0074776C" w:rsidRDefault="0074776C" w:rsidP="00BA0F9F">
      <w:pPr>
        <w:tabs>
          <w:tab w:val="left" w:pos="8505"/>
          <w:tab w:val="left" w:pos="8647"/>
        </w:tabs>
        <w:spacing w:line="600" w:lineRule="exact"/>
        <w:ind w:leftChars="99" w:left="31680" w:hangingChars="300" w:firstLine="31680"/>
        <w:jc w:val="left"/>
        <w:rPr>
          <w:rFonts w:ascii="仿宋_GB2312"/>
          <w:color w:val="000000"/>
          <w:spacing w:val="6"/>
          <w:sz w:val="28"/>
          <w:szCs w:val="28"/>
          <w:lang w:val="zh-CN"/>
        </w:rPr>
      </w:pPr>
      <w:r>
        <w:rPr>
          <w:rFonts w:ascii="仿宋_GB2312" w:hAnsi="仿宋_GB2312" w:cs="仿宋_GB2312" w:hint="eastAsia"/>
          <w:color w:val="000000"/>
          <w:spacing w:val="6"/>
          <w:sz w:val="28"/>
          <w:szCs w:val="28"/>
          <w:lang w:val="zh-CN"/>
        </w:rPr>
        <w:t>抄送：县委各部门，县人大常委会、县政协办公室，县法院，县检察院，县人武部，各群众团体。</w:t>
      </w:r>
    </w:p>
    <w:p w:rsidR="0074776C" w:rsidRDefault="0074776C" w:rsidP="00514068">
      <w:pPr>
        <w:pBdr>
          <w:top w:val="single" w:sz="8" w:space="1" w:color="auto"/>
          <w:bottom w:val="single" w:sz="12" w:space="1" w:color="auto"/>
        </w:pBdr>
        <w:spacing w:line="600" w:lineRule="exact"/>
        <w:ind w:firstLineChars="100" w:firstLine="31680"/>
        <w:jc w:val="left"/>
      </w:pPr>
      <w:r>
        <w:rPr>
          <w:rFonts w:ascii="仿宋_GB2312" w:hAnsi="仿宋_GB2312" w:cs="仿宋_GB2312" w:hint="eastAsia"/>
          <w:color w:val="000000"/>
          <w:spacing w:val="6"/>
          <w:sz w:val="28"/>
          <w:szCs w:val="28"/>
          <w:lang w:val="zh-CN"/>
        </w:rPr>
        <w:t>开化县人民政府办公室</w:t>
      </w:r>
      <w:r>
        <w:rPr>
          <w:rFonts w:ascii="仿宋_GB2312" w:hAnsi="仿宋_GB2312" w:cs="仿宋_GB2312"/>
          <w:color w:val="000000"/>
          <w:spacing w:val="6"/>
          <w:sz w:val="28"/>
          <w:szCs w:val="28"/>
          <w:lang w:val="zh-CN"/>
        </w:rPr>
        <w:t xml:space="preserve">                20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22</w:t>
      </w:r>
      <w:r>
        <w:rPr>
          <w:rFonts w:ascii="仿宋_GB2312" w:hAnsi="仿宋_GB2312" w:cs="仿宋_GB2312" w:hint="eastAsia"/>
          <w:color w:val="000000"/>
          <w:spacing w:val="6"/>
          <w:sz w:val="28"/>
          <w:szCs w:val="28"/>
          <w:lang w:val="zh-CN"/>
        </w:rPr>
        <w:t>年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2</w:t>
      </w:r>
      <w:r>
        <w:rPr>
          <w:rFonts w:ascii="仿宋_GB2312" w:hAnsi="仿宋_GB2312" w:cs="仿宋_GB2312" w:hint="eastAsia"/>
          <w:color w:val="000000"/>
          <w:spacing w:val="6"/>
          <w:sz w:val="28"/>
          <w:szCs w:val="28"/>
          <w:lang w:val="zh-CN"/>
        </w:rPr>
        <w:t>月</w:t>
      </w:r>
      <w:r>
        <w:rPr>
          <w:rFonts w:ascii="仿宋_GB2312" w:hAnsi="仿宋_GB2312" w:cs="仿宋_GB2312"/>
          <w:color w:val="000000"/>
          <w:spacing w:val="6"/>
          <w:sz w:val="28"/>
          <w:szCs w:val="28"/>
        </w:rPr>
        <w:t>15</w:t>
      </w:r>
      <w:r>
        <w:rPr>
          <w:rFonts w:ascii="仿宋_GB2312" w:hAnsi="仿宋_GB2312" w:cs="仿宋_GB2312" w:hint="eastAsia"/>
          <w:color w:val="000000"/>
          <w:spacing w:val="6"/>
          <w:sz w:val="28"/>
          <w:szCs w:val="28"/>
          <w:lang w:val="zh-CN"/>
        </w:rPr>
        <w:t>日印发</w:t>
      </w:r>
      <w:r>
        <w:rPr>
          <w:rFonts w:ascii="仿宋_GB2312" w:hAnsi="仿宋_GB2312" w:cs="仿宋_GB2312"/>
          <w:color w:val="000000"/>
          <w:spacing w:val="6"/>
          <w:sz w:val="28"/>
          <w:szCs w:val="28"/>
          <w:lang w:val="zh-CN"/>
        </w:rPr>
        <w:t xml:space="preserve">                                 </w:t>
      </w:r>
    </w:p>
    <w:sectPr w:rsidR="0074776C" w:rsidSect="004A27C9">
      <w:footerReference w:type="default" r:id="rId8"/>
      <w:pgSz w:w="11906" w:h="16838"/>
      <w:pgMar w:top="1701" w:right="1531" w:bottom="1701" w:left="1531" w:header="851" w:footer="992" w:gutter="0"/>
      <w:pgNumType w:fmt="numberInDash"/>
      <w:cols w:space="0"/>
      <w:rtlGutter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6C" w:rsidRDefault="0074776C" w:rsidP="00514068">
      <w:pPr>
        <w:spacing w:line="240" w:lineRule="auto"/>
        <w:ind w:firstLine="31680"/>
      </w:pPr>
      <w:r>
        <w:separator/>
      </w:r>
    </w:p>
  </w:endnote>
  <w:endnote w:type="continuationSeparator" w:id="1">
    <w:p w:rsidR="0074776C" w:rsidRDefault="0074776C" w:rsidP="00514068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6C" w:rsidRDefault="0074776C" w:rsidP="00514068">
    <w:pPr>
      <w:pStyle w:val="Footer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74776C" w:rsidRDefault="0074776C" w:rsidP="00BA0F9F">
                <w:pPr>
                  <w:pStyle w:val="Footer"/>
                  <w:ind w:leftChars="150" w:left="31680" w:rightChars="150" w:right="31680" w:firstLineChars="0" w:firstLine="0"/>
                  <w:jc w:val="both"/>
                </w:pP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6C" w:rsidRDefault="0074776C" w:rsidP="00514068">
    <w:pPr>
      <w:pStyle w:val="Footer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2336;mso-wrap-style:none;mso-position-horizontal:outside;mso-position-horizontal-relative:margin" filled="f" stroked="f" strokeweight=".5pt">
          <v:textbox style="mso-fit-shape-to-text:t" inset="0,0,0,0">
            <w:txbxContent>
              <w:p w:rsidR="0074776C" w:rsidRDefault="0074776C" w:rsidP="00BA0F9F">
                <w:pPr>
                  <w:pStyle w:val="Footer"/>
                  <w:ind w:leftChars="100" w:left="31680" w:rightChars="100" w:right="31680" w:firstLineChars="0" w:firstLine="0"/>
                  <w:jc w:val="both"/>
                </w:pP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- 6 -</w:t>
                </w:r>
                <w:r w:rsidRPr="004C7794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6C" w:rsidRDefault="0074776C" w:rsidP="00514068">
      <w:pPr>
        <w:spacing w:line="240" w:lineRule="auto"/>
        <w:ind w:firstLine="31680"/>
      </w:pPr>
      <w:r>
        <w:separator/>
      </w:r>
    </w:p>
  </w:footnote>
  <w:footnote w:type="continuationSeparator" w:id="1">
    <w:p w:rsidR="0074776C" w:rsidRDefault="0074776C" w:rsidP="00514068">
      <w:pPr>
        <w:spacing w:line="240" w:lineRule="auto"/>
        <w:ind w:firstLine="316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A6EF1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2">
    <w:nsid w:val="049D4863"/>
    <w:multiLevelType w:val="singleLevel"/>
    <w:tmpl w:val="049D4863"/>
    <w:lvl w:ilvl="0">
      <w:start w:val="1"/>
      <w:numFmt w:val="chineseCounting"/>
      <w:suff w:val="nothing"/>
      <w:lvlText w:val="（%1）"/>
      <w:lvlJc w:val="left"/>
      <w:pPr>
        <w:ind w:left="64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644793"/>
    <w:rsid w:val="004A27C9"/>
    <w:rsid w:val="004C7794"/>
    <w:rsid w:val="00514068"/>
    <w:rsid w:val="0074776C"/>
    <w:rsid w:val="00BA0F9F"/>
    <w:rsid w:val="00E22EF6"/>
    <w:rsid w:val="00E46275"/>
    <w:rsid w:val="017D6081"/>
    <w:rsid w:val="01A324E9"/>
    <w:rsid w:val="02DA616E"/>
    <w:rsid w:val="034F4BFC"/>
    <w:rsid w:val="03743820"/>
    <w:rsid w:val="03802A24"/>
    <w:rsid w:val="043E3DFD"/>
    <w:rsid w:val="04490CE6"/>
    <w:rsid w:val="04901E52"/>
    <w:rsid w:val="04A23186"/>
    <w:rsid w:val="04D00F5F"/>
    <w:rsid w:val="05030C3C"/>
    <w:rsid w:val="065772C2"/>
    <w:rsid w:val="06970811"/>
    <w:rsid w:val="06E11449"/>
    <w:rsid w:val="07D82E92"/>
    <w:rsid w:val="07E62F75"/>
    <w:rsid w:val="080D2DB2"/>
    <w:rsid w:val="086D7048"/>
    <w:rsid w:val="0A51253C"/>
    <w:rsid w:val="0A8A0F6A"/>
    <w:rsid w:val="0AF87FCE"/>
    <w:rsid w:val="0BD63693"/>
    <w:rsid w:val="0BFE6697"/>
    <w:rsid w:val="0C1037D8"/>
    <w:rsid w:val="0C693EEC"/>
    <w:rsid w:val="0CF23440"/>
    <w:rsid w:val="0D116342"/>
    <w:rsid w:val="0D316847"/>
    <w:rsid w:val="0D395F08"/>
    <w:rsid w:val="0D8A6E1A"/>
    <w:rsid w:val="0D9329DF"/>
    <w:rsid w:val="0DF77E44"/>
    <w:rsid w:val="0E8449BC"/>
    <w:rsid w:val="0EAA5D08"/>
    <w:rsid w:val="0F756C74"/>
    <w:rsid w:val="0F986379"/>
    <w:rsid w:val="0F9A3460"/>
    <w:rsid w:val="0FFE1B7A"/>
    <w:rsid w:val="10E75F22"/>
    <w:rsid w:val="10ED732B"/>
    <w:rsid w:val="111F2CC3"/>
    <w:rsid w:val="113B1934"/>
    <w:rsid w:val="1172703D"/>
    <w:rsid w:val="12BE3627"/>
    <w:rsid w:val="133513B6"/>
    <w:rsid w:val="13465E30"/>
    <w:rsid w:val="139E4996"/>
    <w:rsid w:val="13C63C3F"/>
    <w:rsid w:val="14515DD5"/>
    <w:rsid w:val="15620C83"/>
    <w:rsid w:val="15764939"/>
    <w:rsid w:val="16583CCE"/>
    <w:rsid w:val="172F4478"/>
    <w:rsid w:val="17944956"/>
    <w:rsid w:val="18CC0AC6"/>
    <w:rsid w:val="18E82236"/>
    <w:rsid w:val="19471B98"/>
    <w:rsid w:val="19F93535"/>
    <w:rsid w:val="1A2D3207"/>
    <w:rsid w:val="1A513F7A"/>
    <w:rsid w:val="1AC46FB3"/>
    <w:rsid w:val="1B525749"/>
    <w:rsid w:val="1C556E08"/>
    <w:rsid w:val="1C5F3406"/>
    <w:rsid w:val="1CA375DE"/>
    <w:rsid w:val="1D2B5E3B"/>
    <w:rsid w:val="1D3A7C87"/>
    <w:rsid w:val="1D951428"/>
    <w:rsid w:val="1DF93765"/>
    <w:rsid w:val="1E3E4A94"/>
    <w:rsid w:val="205858B3"/>
    <w:rsid w:val="20E976FC"/>
    <w:rsid w:val="21DF2ED8"/>
    <w:rsid w:val="22284A3E"/>
    <w:rsid w:val="224B6D1C"/>
    <w:rsid w:val="226125C0"/>
    <w:rsid w:val="22885B36"/>
    <w:rsid w:val="22BA717D"/>
    <w:rsid w:val="22C96F31"/>
    <w:rsid w:val="22FB5CE7"/>
    <w:rsid w:val="231B5030"/>
    <w:rsid w:val="23760266"/>
    <w:rsid w:val="23773C65"/>
    <w:rsid w:val="2378700F"/>
    <w:rsid w:val="23DC56BB"/>
    <w:rsid w:val="23E5405E"/>
    <w:rsid w:val="24C5457F"/>
    <w:rsid w:val="24E744EC"/>
    <w:rsid w:val="255D3EA2"/>
    <w:rsid w:val="25AD3433"/>
    <w:rsid w:val="25CE197B"/>
    <w:rsid w:val="25E65448"/>
    <w:rsid w:val="2627524A"/>
    <w:rsid w:val="267C2F7A"/>
    <w:rsid w:val="26CD239C"/>
    <w:rsid w:val="26DB32A0"/>
    <w:rsid w:val="27233601"/>
    <w:rsid w:val="272A6D03"/>
    <w:rsid w:val="285E36F3"/>
    <w:rsid w:val="295E4DC4"/>
    <w:rsid w:val="2981284B"/>
    <w:rsid w:val="2A4A5E96"/>
    <w:rsid w:val="2AA33159"/>
    <w:rsid w:val="2BCF6AFB"/>
    <w:rsid w:val="2C197A3A"/>
    <w:rsid w:val="2D656721"/>
    <w:rsid w:val="2D7A19CF"/>
    <w:rsid w:val="2D9E60D7"/>
    <w:rsid w:val="2DED5686"/>
    <w:rsid w:val="2E1168A9"/>
    <w:rsid w:val="323C11A3"/>
    <w:rsid w:val="32870FCE"/>
    <w:rsid w:val="32B85545"/>
    <w:rsid w:val="35BA5D2A"/>
    <w:rsid w:val="37080C54"/>
    <w:rsid w:val="37A10C9D"/>
    <w:rsid w:val="37B63955"/>
    <w:rsid w:val="37C30C14"/>
    <w:rsid w:val="38066168"/>
    <w:rsid w:val="38E2540E"/>
    <w:rsid w:val="3BA1225B"/>
    <w:rsid w:val="3BA452D7"/>
    <w:rsid w:val="3BB47552"/>
    <w:rsid w:val="3C8C562D"/>
    <w:rsid w:val="3C942855"/>
    <w:rsid w:val="3D7D5B88"/>
    <w:rsid w:val="3DD33817"/>
    <w:rsid w:val="3E0B50C2"/>
    <w:rsid w:val="3E2303AC"/>
    <w:rsid w:val="3E894239"/>
    <w:rsid w:val="3EA87EB5"/>
    <w:rsid w:val="40CD101C"/>
    <w:rsid w:val="40E47132"/>
    <w:rsid w:val="412E0DDD"/>
    <w:rsid w:val="412E5367"/>
    <w:rsid w:val="429668C5"/>
    <w:rsid w:val="42A72228"/>
    <w:rsid w:val="44150A49"/>
    <w:rsid w:val="442D6759"/>
    <w:rsid w:val="443D17BC"/>
    <w:rsid w:val="443D1D4E"/>
    <w:rsid w:val="44644793"/>
    <w:rsid w:val="452E7921"/>
    <w:rsid w:val="454A5294"/>
    <w:rsid w:val="46625176"/>
    <w:rsid w:val="46CE3131"/>
    <w:rsid w:val="473E02B7"/>
    <w:rsid w:val="47484C91"/>
    <w:rsid w:val="480F755D"/>
    <w:rsid w:val="490800FB"/>
    <w:rsid w:val="49EA4D60"/>
    <w:rsid w:val="4A024A25"/>
    <w:rsid w:val="4AC2626D"/>
    <w:rsid w:val="4B344CDE"/>
    <w:rsid w:val="4BAE3056"/>
    <w:rsid w:val="4BD02FC5"/>
    <w:rsid w:val="4D68245E"/>
    <w:rsid w:val="4D6B698F"/>
    <w:rsid w:val="4E661EA1"/>
    <w:rsid w:val="4EA67106"/>
    <w:rsid w:val="4F955DC1"/>
    <w:rsid w:val="4FCF189D"/>
    <w:rsid w:val="4FF5610C"/>
    <w:rsid w:val="501B7F50"/>
    <w:rsid w:val="50236C37"/>
    <w:rsid w:val="50B769E4"/>
    <w:rsid w:val="50CB0B60"/>
    <w:rsid w:val="516516C4"/>
    <w:rsid w:val="51DC7768"/>
    <w:rsid w:val="52F10692"/>
    <w:rsid w:val="530939DD"/>
    <w:rsid w:val="531D64EF"/>
    <w:rsid w:val="5334431C"/>
    <w:rsid w:val="54197355"/>
    <w:rsid w:val="54944718"/>
    <w:rsid w:val="56562D54"/>
    <w:rsid w:val="569E6823"/>
    <w:rsid w:val="56A379E2"/>
    <w:rsid w:val="56BF6A4A"/>
    <w:rsid w:val="5731609A"/>
    <w:rsid w:val="57696159"/>
    <w:rsid w:val="58096393"/>
    <w:rsid w:val="59F96618"/>
    <w:rsid w:val="5AA61FA3"/>
    <w:rsid w:val="5B095A4A"/>
    <w:rsid w:val="5B6A7475"/>
    <w:rsid w:val="5BA41F41"/>
    <w:rsid w:val="5C556A15"/>
    <w:rsid w:val="5CBD280D"/>
    <w:rsid w:val="5D3E52C8"/>
    <w:rsid w:val="5D992EAB"/>
    <w:rsid w:val="5DED613B"/>
    <w:rsid w:val="5E666D08"/>
    <w:rsid w:val="5E843A41"/>
    <w:rsid w:val="5EDD1D0C"/>
    <w:rsid w:val="5F531A90"/>
    <w:rsid w:val="5FB129D9"/>
    <w:rsid w:val="5FD9743C"/>
    <w:rsid w:val="603131B0"/>
    <w:rsid w:val="603C3E83"/>
    <w:rsid w:val="61277756"/>
    <w:rsid w:val="61CF36F0"/>
    <w:rsid w:val="61DA6CF0"/>
    <w:rsid w:val="62AA423A"/>
    <w:rsid w:val="62CE796D"/>
    <w:rsid w:val="633E54BA"/>
    <w:rsid w:val="63457432"/>
    <w:rsid w:val="6444072C"/>
    <w:rsid w:val="6485453A"/>
    <w:rsid w:val="64EB40A9"/>
    <w:rsid w:val="65CE72E4"/>
    <w:rsid w:val="66683A03"/>
    <w:rsid w:val="667165ED"/>
    <w:rsid w:val="66D101CE"/>
    <w:rsid w:val="66E61293"/>
    <w:rsid w:val="67136644"/>
    <w:rsid w:val="671B1623"/>
    <w:rsid w:val="674D6904"/>
    <w:rsid w:val="67884A28"/>
    <w:rsid w:val="67AB7538"/>
    <w:rsid w:val="67B64F1C"/>
    <w:rsid w:val="67D75ECC"/>
    <w:rsid w:val="682730F1"/>
    <w:rsid w:val="68880F3A"/>
    <w:rsid w:val="68B95C25"/>
    <w:rsid w:val="6B780D9A"/>
    <w:rsid w:val="6B7A714C"/>
    <w:rsid w:val="6BF455E7"/>
    <w:rsid w:val="6C7634B7"/>
    <w:rsid w:val="6C7B7331"/>
    <w:rsid w:val="6C88775B"/>
    <w:rsid w:val="6C9501F3"/>
    <w:rsid w:val="6CAC4613"/>
    <w:rsid w:val="6D2B0C6A"/>
    <w:rsid w:val="6DE76F84"/>
    <w:rsid w:val="6FEB5E79"/>
    <w:rsid w:val="700A66D9"/>
    <w:rsid w:val="70DD5B9B"/>
    <w:rsid w:val="710934AF"/>
    <w:rsid w:val="716F665C"/>
    <w:rsid w:val="71A1306D"/>
    <w:rsid w:val="71C058B0"/>
    <w:rsid w:val="72907A7E"/>
    <w:rsid w:val="72C154FD"/>
    <w:rsid w:val="72E11C33"/>
    <w:rsid w:val="73A61948"/>
    <w:rsid w:val="73AD4258"/>
    <w:rsid w:val="75143985"/>
    <w:rsid w:val="75963A07"/>
    <w:rsid w:val="77364206"/>
    <w:rsid w:val="773B58AA"/>
    <w:rsid w:val="78250717"/>
    <w:rsid w:val="784D5D84"/>
    <w:rsid w:val="788E3141"/>
    <w:rsid w:val="78C32087"/>
    <w:rsid w:val="793C29F9"/>
    <w:rsid w:val="794F6440"/>
    <w:rsid w:val="79C51ADA"/>
    <w:rsid w:val="7A563990"/>
    <w:rsid w:val="7C69335F"/>
    <w:rsid w:val="7CD471CC"/>
    <w:rsid w:val="7CFB3911"/>
    <w:rsid w:val="7D283C60"/>
    <w:rsid w:val="7D686423"/>
    <w:rsid w:val="7D7F24B4"/>
    <w:rsid w:val="7DB33B66"/>
    <w:rsid w:val="7DB70A60"/>
    <w:rsid w:val="7DF6029C"/>
    <w:rsid w:val="7DF94E06"/>
    <w:rsid w:val="7DFD05FC"/>
    <w:rsid w:val="7E6D04DE"/>
    <w:rsid w:val="7ECB797B"/>
    <w:rsid w:val="7F345EAB"/>
    <w:rsid w:val="7F9C413A"/>
    <w:rsid w:val="7FA0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1"/>
    <w:qFormat/>
    <w:rsid w:val="004A27C9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7C9"/>
    <w:pPr>
      <w:keepNext/>
      <w:keepLines/>
      <w:outlineLvl w:val="0"/>
    </w:pPr>
    <w:rPr>
      <w:rFonts w:ascii="Calibri" w:eastAsia="方正小标宋简体" w:hAnsi="Calibri" w:cs="Calibri"/>
      <w:b/>
      <w:bCs/>
      <w:kern w:val="44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7C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133"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13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odyTextIndent1">
    <w:name w:val="Body Text Indent1"/>
    <w:basedOn w:val="Normal"/>
    <w:next w:val="1"/>
    <w:uiPriority w:val="99"/>
    <w:rsid w:val="004A27C9"/>
    <w:pPr>
      <w:spacing w:after="120"/>
      <w:ind w:leftChars="200" w:left="420"/>
    </w:pPr>
  </w:style>
  <w:style w:type="paragraph" w:customStyle="1" w:styleId="1">
    <w:name w:val="正文缩进1"/>
    <w:basedOn w:val="Normal"/>
    <w:uiPriority w:val="99"/>
    <w:rsid w:val="004A27C9"/>
    <w:pPr>
      <w:ind w:firstLine="420"/>
    </w:pPr>
    <w:rPr>
      <w:rFonts w:eastAsia="仿宋"/>
    </w:rPr>
  </w:style>
  <w:style w:type="paragraph" w:styleId="CommentText">
    <w:name w:val="annotation text"/>
    <w:basedOn w:val="Normal"/>
    <w:link w:val="CommentTextChar"/>
    <w:uiPriority w:val="99"/>
    <w:semiHidden/>
    <w:rsid w:val="004A27C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33"/>
    <w:rPr>
      <w:rFonts w:ascii="Times New Roman" w:eastAsia="仿宋_GB2312" w:hAnsi="Times New Roman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A27C9"/>
    <w:pPr>
      <w:autoSpaceDE w:val="0"/>
      <w:autoSpaceDN w:val="0"/>
      <w:spacing w:after="120"/>
      <w:ind w:leftChars="200" w:left="420"/>
      <w:jc w:val="left"/>
    </w:pPr>
    <w:rPr>
      <w:rFonts w:ascii="仿宋_GB2312" w:hAnsi="宋体" w:cs="仿宋_GB2312"/>
      <w:kern w:val="0"/>
      <w:sz w:val="30"/>
      <w:szCs w:val="30"/>
      <w:lang w:val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2133"/>
    <w:rPr>
      <w:rFonts w:ascii="Times New Roman" w:eastAsia="仿宋_GB2312" w:hAnsi="Times New Roman"/>
      <w:sz w:val="32"/>
      <w:szCs w:val="32"/>
    </w:rPr>
  </w:style>
  <w:style w:type="paragraph" w:styleId="ListBullet2">
    <w:name w:val="List Bullet 2"/>
    <w:basedOn w:val="Normal"/>
    <w:uiPriority w:val="99"/>
    <w:rsid w:val="004A27C9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4A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2133"/>
    <w:rPr>
      <w:rFonts w:ascii="Times New Roman" w:eastAsia="仿宋_GB2312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A27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2133"/>
    <w:rPr>
      <w:rFonts w:ascii="Times New Roman" w:eastAsia="仿宋_GB2312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4A27C9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A27C9"/>
    <w:pPr>
      <w:widowControl w:val="0"/>
      <w:jc w:val="both"/>
    </w:pPr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A2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禾</dc:creator>
  <cp:keywords/>
  <dc:description/>
  <cp:lastModifiedBy>鲁彬</cp:lastModifiedBy>
  <cp:revision>2</cp:revision>
  <cp:lastPrinted>2022-02-25T02:11:00Z</cp:lastPrinted>
  <dcterms:created xsi:type="dcterms:W3CDTF">2021-11-29T11:21:00Z</dcterms:created>
  <dcterms:modified xsi:type="dcterms:W3CDTF">2022-02-25T06:29:00Z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48F807B9709646188075CF1C5E786E67</vt:lpwstr>
  </property>
</Properties>
</file>